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844847">
              <w:t>09.11.2022</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844847">
            <w:pPr>
              <w:tabs>
                <w:tab w:val="left" w:pos="3123"/>
                <w:tab w:val="left" w:pos="3270"/>
              </w:tabs>
              <w:jc w:val="right"/>
            </w:pPr>
            <w:r w:rsidRPr="00360CF1">
              <w:t xml:space="preserve">№ </w:t>
            </w:r>
            <w:r w:rsidR="00844847">
              <w:t>2241</w:t>
            </w:r>
            <w:r w:rsidRPr="00360CF1">
              <w:t xml:space="preserve">          </w:t>
            </w:r>
          </w:p>
        </w:tc>
      </w:tr>
    </w:tbl>
    <w:p w:rsidR="00A27B69" w:rsidRPr="00B15C1C" w:rsidRDefault="00A27B69" w:rsidP="00A27B69">
      <w:pPr>
        <w:ind w:right="5103"/>
        <w:rPr>
          <w:sz w:val="24"/>
          <w:szCs w:val="20"/>
        </w:rPr>
      </w:pPr>
    </w:p>
    <w:p w:rsidR="002F57B4" w:rsidRDefault="002F57B4" w:rsidP="00B15C1C">
      <w:pPr>
        <w:ind w:right="5103"/>
        <w:rPr>
          <w:sz w:val="24"/>
          <w:szCs w:val="20"/>
        </w:rPr>
      </w:pPr>
    </w:p>
    <w:p w:rsidR="00302C34" w:rsidRPr="004962B8" w:rsidRDefault="00302C34" w:rsidP="00302C34">
      <w:pPr>
        <w:ind w:right="4960"/>
        <w:jc w:val="both"/>
      </w:pPr>
      <w:r w:rsidRPr="004962B8">
        <w:t>О прогнозе социально-экономического развития Нижневартовского района на период до 2028 года</w:t>
      </w:r>
    </w:p>
    <w:p w:rsidR="00302C34" w:rsidRPr="004962B8" w:rsidRDefault="00302C34" w:rsidP="00302C34"/>
    <w:p w:rsidR="00302C34" w:rsidRPr="004962B8" w:rsidRDefault="00302C34" w:rsidP="00302C34"/>
    <w:p w:rsidR="00302C34" w:rsidRPr="004962B8" w:rsidRDefault="00302C34" w:rsidP="00302C34">
      <w:pPr>
        <w:ind w:firstLine="709"/>
        <w:jc w:val="both"/>
      </w:pPr>
      <w:r w:rsidRPr="004962B8">
        <w:t xml:space="preserve">В соответствии с пунктом 3.2 постановления администрации района                    </w:t>
      </w:r>
      <w:r w:rsidRPr="004962B8">
        <w:rPr>
          <w:rFonts w:eastAsia="Calibri"/>
          <w:lang w:eastAsia="en-US"/>
        </w:rPr>
        <w:t>от 17.12.2015 № 2475 «О Порядке разработки, корректировки, осуществления мониторинга и контроля реализации прогноза социально-экономического развития Нижневартовского района на долгосрочный период»,</w:t>
      </w:r>
      <w:r w:rsidRPr="004962B8">
        <w:t xml:space="preserve"> в связи                              с принятием распоряжения Правительства Ханты-Мансийского автономного округа – Югры от 25.01.2019 № 36-рп «О прогнозе социально-экономического развития Ханты-Мансийского автономного округа − Югры на период до 2036 года»</w:t>
      </w:r>
      <w:r w:rsidRPr="004962B8">
        <w:rPr>
          <w:rFonts w:eastAsia="Calibri"/>
          <w:lang w:eastAsia="en-US"/>
        </w:rPr>
        <w:t>:</w:t>
      </w:r>
      <w:r w:rsidRPr="004962B8">
        <w:t xml:space="preserve"> </w:t>
      </w:r>
    </w:p>
    <w:p w:rsidR="00302C34" w:rsidRPr="004962B8" w:rsidRDefault="00302C34" w:rsidP="00302C34">
      <w:pPr>
        <w:ind w:firstLine="709"/>
        <w:jc w:val="both"/>
      </w:pPr>
    </w:p>
    <w:p w:rsidR="00302C34" w:rsidRPr="004962B8" w:rsidRDefault="00302C34" w:rsidP="00302C34">
      <w:pPr>
        <w:ind w:firstLine="709"/>
        <w:jc w:val="both"/>
      </w:pPr>
      <w:r w:rsidRPr="004962B8">
        <w:t>1. Одобрить прогноз социально-экономического развития Нижневартовского района на период до 2028 года согласно приложению.</w:t>
      </w:r>
    </w:p>
    <w:p w:rsidR="00302C34" w:rsidRPr="004962B8" w:rsidRDefault="00302C34" w:rsidP="00302C34">
      <w:pPr>
        <w:ind w:firstLine="709"/>
        <w:jc w:val="both"/>
      </w:pPr>
    </w:p>
    <w:p w:rsidR="00302C34" w:rsidRPr="004962B8" w:rsidRDefault="00302C34" w:rsidP="00302C34">
      <w:pPr>
        <w:ind w:firstLine="709"/>
        <w:jc w:val="both"/>
      </w:pPr>
      <w:r w:rsidRPr="004962B8">
        <w:t>2. Департаменту финансов администрации района в целях формирования проекта бюджетного прогноза на долгосрочный период руководствоваться прогнозом социально-экономического развития района на долгосрочный период, д</w:t>
      </w:r>
      <w:r w:rsidRPr="004962B8">
        <w:rPr>
          <w:lang w:eastAsia="zh-CN"/>
        </w:rPr>
        <w:t xml:space="preserve">ля </w:t>
      </w:r>
      <w:r w:rsidRPr="004962B8">
        <w:t xml:space="preserve">долгосрочного бюджетного планирования предлагается базовый вариант прогноза. </w:t>
      </w:r>
    </w:p>
    <w:p w:rsidR="00302C34" w:rsidRPr="004962B8" w:rsidRDefault="00302C34" w:rsidP="00302C34">
      <w:pPr>
        <w:ind w:firstLine="709"/>
        <w:jc w:val="both"/>
      </w:pPr>
    </w:p>
    <w:p w:rsidR="00302C34" w:rsidRPr="004962B8" w:rsidRDefault="00302C34" w:rsidP="00302C34">
      <w:pPr>
        <w:ind w:firstLine="709"/>
        <w:jc w:val="both"/>
      </w:pPr>
      <w:r w:rsidRPr="004962B8">
        <w:t>3. Контроль за выполнением постановления возложить на заместителя главы района по экономике и финансам Т.А. Колокольцеву.</w:t>
      </w:r>
    </w:p>
    <w:p w:rsidR="00302C34" w:rsidRPr="004962B8" w:rsidRDefault="00302C34" w:rsidP="00302C34"/>
    <w:p w:rsidR="00B65A2B" w:rsidRPr="00B15C1C" w:rsidRDefault="00B65A2B" w:rsidP="00B15C1C">
      <w:pPr>
        <w:ind w:right="5103"/>
        <w:rPr>
          <w:sz w:val="24"/>
          <w:szCs w:val="20"/>
        </w:rPr>
      </w:pPr>
    </w:p>
    <w:p w:rsidR="00B15C1C" w:rsidRPr="00B15C1C" w:rsidRDefault="00B15C1C" w:rsidP="00B15C1C">
      <w:pPr>
        <w:jc w:val="both"/>
        <w:rPr>
          <w:color w:val="000000"/>
          <w:lang w:eastAsia="en-US"/>
        </w:rPr>
      </w:pPr>
    </w:p>
    <w:p w:rsidR="00575303" w:rsidRDefault="002365BD" w:rsidP="002365BD">
      <w:pPr>
        <w:tabs>
          <w:tab w:val="left" w:pos="0"/>
          <w:tab w:val="left" w:pos="8627"/>
        </w:tabs>
        <w:jc w:val="both"/>
        <w:rPr>
          <w:rFonts w:eastAsia="Calibri"/>
          <w:lang w:eastAsia="en-US"/>
        </w:rPr>
      </w:pPr>
      <w:r>
        <w:rPr>
          <w:rFonts w:eastAsia="Calibri"/>
          <w:lang w:eastAsia="en-US"/>
        </w:rPr>
        <w:t>Глава района                                                                                        Б.А. Саломатин</w:t>
      </w:r>
    </w:p>
    <w:p w:rsidR="00302C34" w:rsidRDefault="00302C34" w:rsidP="002365BD">
      <w:pPr>
        <w:tabs>
          <w:tab w:val="left" w:pos="0"/>
          <w:tab w:val="left" w:pos="8627"/>
        </w:tabs>
        <w:jc w:val="both"/>
        <w:rPr>
          <w:rFonts w:eastAsia="Calibri"/>
          <w:lang w:eastAsia="en-US"/>
        </w:rPr>
      </w:pPr>
    </w:p>
    <w:p w:rsidR="00302C34" w:rsidRDefault="00302C34" w:rsidP="002365BD">
      <w:pPr>
        <w:tabs>
          <w:tab w:val="left" w:pos="0"/>
          <w:tab w:val="left" w:pos="8627"/>
        </w:tabs>
        <w:jc w:val="both"/>
        <w:rPr>
          <w:rFonts w:eastAsia="Calibri"/>
          <w:lang w:eastAsia="en-US"/>
        </w:rPr>
        <w:sectPr w:rsidR="00302C34" w:rsidSect="00304B75">
          <w:headerReference w:type="default" r:id="rId9"/>
          <w:pgSz w:w="11907" w:h="16840" w:code="9"/>
          <w:pgMar w:top="1134" w:right="567" w:bottom="1134" w:left="1701" w:header="720" w:footer="720" w:gutter="0"/>
          <w:cols w:space="720"/>
          <w:noEndnote/>
          <w:docGrid w:linePitch="381"/>
        </w:sectPr>
      </w:pPr>
    </w:p>
    <w:p w:rsidR="00302C34" w:rsidRPr="004962B8" w:rsidRDefault="00302C34" w:rsidP="00302C34">
      <w:pPr>
        <w:widowControl w:val="0"/>
        <w:suppressAutoHyphens/>
        <w:ind w:left="10490"/>
        <w:jc w:val="both"/>
        <w:rPr>
          <w:sz w:val="24"/>
          <w:szCs w:val="24"/>
        </w:rPr>
      </w:pPr>
      <w:r w:rsidRPr="004962B8">
        <w:rPr>
          <w:sz w:val="24"/>
          <w:szCs w:val="24"/>
        </w:rPr>
        <w:lastRenderedPageBreak/>
        <w:t>Приложение к постановлению</w:t>
      </w:r>
    </w:p>
    <w:p w:rsidR="00302C34" w:rsidRPr="004962B8" w:rsidRDefault="00302C34" w:rsidP="00302C34">
      <w:pPr>
        <w:widowControl w:val="0"/>
        <w:suppressAutoHyphens/>
        <w:ind w:left="10490"/>
        <w:jc w:val="both"/>
        <w:rPr>
          <w:sz w:val="24"/>
          <w:szCs w:val="24"/>
        </w:rPr>
      </w:pPr>
      <w:r w:rsidRPr="004962B8">
        <w:rPr>
          <w:sz w:val="24"/>
          <w:szCs w:val="24"/>
        </w:rPr>
        <w:t>администрации района</w:t>
      </w:r>
    </w:p>
    <w:p w:rsidR="00302C34" w:rsidRPr="004962B8" w:rsidRDefault="00302C34" w:rsidP="00302C34">
      <w:pPr>
        <w:widowControl w:val="0"/>
        <w:suppressAutoHyphens/>
        <w:ind w:left="10490"/>
        <w:jc w:val="both"/>
        <w:rPr>
          <w:szCs w:val="24"/>
        </w:rPr>
      </w:pPr>
      <w:r w:rsidRPr="004962B8">
        <w:rPr>
          <w:sz w:val="24"/>
          <w:szCs w:val="24"/>
        </w:rPr>
        <w:t>от</w:t>
      </w:r>
      <w:r w:rsidR="00544321">
        <w:rPr>
          <w:szCs w:val="24"/>
        </w:rPr>
        <w:t xml:space="preserve"> </w:t>
      </w:r>
      <w:r w:rsidR="00844847">
        <w:rPr>
          <w:szCs w:val="24"/>
        </w:rPr>
        <w:t>09.11.2022</w:t>
      </w:r>
      <w:r w:rsidRPr="004962B8">
        <w:rPr>
          <w:szCs w:val="24"/>
        </w:rPr>
        <w:t xml:space="preserve"> № </w:t>
      </w:r>
      <w:r w:rsidR="00844847">
        <w:rPr>
          <w:szCs w:val="24"/>
        </w:rPr>
        <w:t>2241</w:t>
      </w:r>
      <w:bookmarkStart w:id="0" w:name="_GoBack"/>
      <w:bookmarkEnd w:id="0"/>
    </w:p>
    <w:p w:rsidR="00302C34" w:rsidRDefault="00302C34" w:rsidP="00302C34">
      <w:pPr>
        <w:widowControl w:val="0"/>
        <w:suppressAutoHyphens/>
        <w:ind w:left="10490"/>
        <w:jc w:val="both"/>
        <w:rPr>
          <w:szCs w:val="24"/>
        </w:rPr>
      </w:pPr>
    </w:p>
    <w:p w:rsidR="00544321" w:rsidRPr="004962B8" w:rsidRDefault="00544321" w:rsidP="00302C34">
      <w:pPr>
        <w:widowControl w:val="0"/>
        <w:suppressAutoHyphens/>
        <w:ind w:left="10490"/>
        <w:jc w:val="both"/>
        <w:rPr>
          <w:szCs w:val="24"/>
        </w:rPr>
      </w:pPr>
    </w:p>
    <w:p w:rsidR="00302C34" w:rsidRPr="004962B8" w:rsidRDefault="00302C34" w:rsidP="00302C34">
      <w:pPr>
        <w:jc w:val="center"/>
        <w:rPr>
          <w:b/>
        </w:rPr>
      </w:pPr>
      <w:r w:rsidRPr="004962B8">
        <w:rPr>
          <w:b/>
        </w:rPr>
        <w:t>Показатели прогноза социально-экономического развития</w:t>
      </w:r>
    </w:p>
    <w:p w:rsidR="00302C34" w:rsidRPr="004962B8" w:rsidRDefault="00302C34" w:rsidP="00302C34">
      <w:pPr>
        <w:jc w:val="center"/>
        <w:rPr>
          <w:b/>
        </w:rPr>
      </w:pPr>
      <w:r w:rsidRPr="004962B8">
        <w:rPr>
          <w:b/>
        </w:rPr>
        <w:t>Нижневартовского района до 2028 года</w:t>
      </w:r>
    </w:p>
    <w:p w:rsidR="00302C34" w:rsidRPr="004962B8" w:rsidRDefault="00302C34" w:rsidP="00302C34">
      <w:pPr>
        <w:jc w:val="right"/>
      </w:pPr>
      <w:r w:rsidRPr="004962B8">
        <w:t xml:space="preserve">Таблица </w:t>
      </w:r>
    </w:p>
    <w:p w:rsidR="00302C34" w:rsidRPr="004962B8" w:rsidRDefault="00302C34" w:rsidP="00302C34"/>
    <w:tbl>
      <w:tblPr>
        <w:tblW w:w="158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564"/>
        <w:gridCol w:w="1417"/>
        <w:gridCol w:w="851"/>
        <w:gridCol w:w="992"/>
        <w:gridCol w:w="851"/>
        <w:gridCol w:w="850"/>
        <w:gridCol w:w="851"/>
        <w:gridCol w:w="850"/>
        <w:gridCol w:w="851"/>
        <w:gridCol w:w="850"/>
        <w:gridCol w:w="851"/>
        <w:gridCol w:w="850"/>
        <w:gridCol w:w="851"/>
        <w:gridCol w:w="850"/>
        <w:gridCol w:w="851"/>
        <w:gridCol w:w="850"/>
        <w:gridCol w:w="851"/>
      </w:tblGrid>
      <w:tr w:rsidR="00302C34" w:rsidRPr="004962B8" w:rsidTr="00544321">
        <w:trPr>
          <w:trHeight w:val="146"/>
          <w:jc w:val="right"/>
        </w:trPr>
        <w:tc>
          <w:tcPr>
            <w:tcW w:w="1564" w:type="dxa"/>
            <w:vMerge w:val="restart"/>
            <w:shd w:val="clear" w:color="auto" w:fill="auto"/>
            <w:hideMark/>
          </w:tcPr>
          <w:p w:rsidR="00302C34" w:rsidRPr="004962B8" w:rsidRDefault="00302C34" w:rsidP="007A6C29">
            <w:pPr>
              <w:jc w:val="center"/>
              <w:rPr>
                <w:b/>
                <w:sz w:val="20"/>
                <w:szCs w:val="20"/>
              </w:rPr>
            </w:pPr>
            <w:r w:rsidRPr="004962B8">
              <w:rPr>
                <w:b/>
                <w:sz w:val="20"/>
                <w:szCs w:val="20"/>
              </w:rPr>
              <w:t>Показатели</w:t>
            </w:r>
          </w:p>
        </w:tc>
        <w:tc>
          <w:tcPr>
            <w:tcW w:w="1417" w:type="dxa"/>
            <w:vMerge w:val="restart"/>
            <w:shd w:val="clear" w:color="auto" w:fill="auto"/>
            <w:hideMark/>
          </w:tcPr>
          <w:p w:rsidR="00302C34" w:rsidRPr="004962B8" w:rsidRDefault="00302C34" w:rsidP="007A6C29">
            <w:pPr>
              <w:jc w:val="center"/>
              <w:rPr>
                <w:b/>
                <w:sz w:val="20"/>
                <w:szCs w:val="20"/>
              </w:rPr>
            </w:pPr>
            <w:r w:rsidRPr="004962B8">
              <w:rPr>
                <w:b/>
                <w:sz w:val="20"/>
                <w:szCs w:val="20"/>
              </w:rPr>
              <w:t>Единица измерения</w:t>
            </w:r>
          </w:p>
        </w:tc>
        <w:tc>
          <w:tcPr>
            <w:tcW w:w="1843" w:type="dxa"/>
            <w:gridSpan w:val="2"/>
            <w:shd w:val="clear" w:color="auto" w:fill="auto"/>
            <w:hideMark/>
          </w:tcPr>
          <w:p w:rsidR="00302C34" w:rsidRPr="004962B8" w:rsidRDefault="00302C34" w:rsidP="007A6C29">
            <w:pPr>
              <w:jc w:val="center"/>
              <w:rPr>
                <w:b/>
                <w:sz w:val="20"/>
                <w:szCs w:val="20"/>
              </w:rPr>
            </w:pPr>
            <w:r w:rsidRPr="004962B8">
              <w:rPr>
                <w:b/>
                <w:sz w:val="20"/>
                <w:szCs w:val="20"/>
              </w:rPr>
              <w:t>Отчет</w:t>
            </w:r>
          </w:p>
        </w:tc>
        <w:tc>
          <w:tcPr>
            <w:tcW w:w="851" w:type="dxa"/>
            <w:shd w:val="clear" w:color="auto" w:fill="auto"/>
            <w:hideMark/>
          </w:tcPr>
          <w:p w:rsidR="00302C34" w:rsidRPr="004962B8" w:rsidRDefault="00302C34" w:rsidP="007A6C29">
            <w:pPr>
              <w:jc w:val="center"/>
              <w:rPr>
                <w:b/>
                <w:sz w:val="20"/>
                <w:szCs w:val="20"/>
              </w:rPr>
            </w:pPr>
            <w:r w:rsidRPr="004962B8">
              <w:rPr>
                <w:b/>
                <w:sz w:val="20"/>
                <w:szCs w:val="20"/>
              </w:rPr>
              <w:t>Оценка</w:t>
            </w:r>
          </w:p>
        </w:tc>
        <w:tc>
          <w:tcPr>
            <w:tcW w:w="10206" w:type="dxa"/>
            <w:gridSpan w:val="12"/>
            <w:shd w:val="clear" w:color="auto" w:fill="auto"/>
          </w:tcPr>
          <w:p w:rsidR="00302C34" w:rsidRPr="004962B8" w:rsidRDefault="00302C34" w:rsidP="007A6C29">
            <w:pPr>
              <w:jc w:val="center"/>
              <w:rPr>
                <w:b/>
                <w:sz w:val="20"/>
                <w:szCs w:val="20"/>
              </w:rPr>
            </w:pPr>
            <w:r w:rsidRPr="004962B8">
              <w:rPr>
                <w:b/>
                <w:sz w:val="20"/>
                <w:szCs w:val="20"/>
              </w:rPr>
              <w:t>Прогноз</w:t>
            </w:r>
          </w:p>
        </w:tc>
      </w:tr>
      <w:tr w:rsidR="00302C34" w:rsidRPr="004962B8" w:rsidTr="00544321">
        <w:trPr>
          <w:trHeight w:hRule="exact" w:val="340"/>
          <w:jc w:val="right"/>
        </w:trPr>
        <w:tc>
          <w:tcPr>
            <w:tcW w:w="1564" w:type="dxa"/>
            <w:vMerge/>
            <w:hideMark/>
          </w:tcPr>
          <w:p w:rsidR="00302C34" w:rsidRPr="004962B8" w:rsidRDefault="00302C34" w:rsidP="007A6C29">
            <w:pPr>
              <w:jc w:val="center"/>
              <w:rPr>
                <w:b/>
                <w:sz w:val="20"/>
                <w:szCs w:val="20"/>
              </w:rPr>
            </w:pPr>
          </w:p>
        </w:tc>
        <w:tc>
          <w:tcPr>
            <w:tcW w:w="1417" w:type="dxa"/>
            <w:vMerge/>
            <w:hideMark/>
          </w:tcPr>
          <w:p w:rsidR="00302C34" w:rsidRPr="004962B8" w:rsidRDefault="00302C34" w:rsidP="007A6C29">
            <w:pPr>
              <w:jc w:val="center"/>
              <w:rPr>
                <w:b/>
                <w:sz w:val="20"/>
                <w:szCs w:val="20"/>
              </w:rPr>
            </w:pPr>
          </w:p>
        </w:tc>
        <w:tc>
          <w:tcPr>
            <w:tcW w:w="851" w:type="dxa"/>
            <w:vMerge w:val="restart"/>
            <w:shd w:val="clear" w:color="auto" w:fill="auto"/>
            <w:hideMark/>
          </w:tcPr>
          <w:p w:rsidR="00302C34" w:rsidRPr="004962B8" w:rsidRDefault="00302C34" w:rsidP="007A6C29">
            <w:pPr>
              <w:jc w:val="center"/>
              <w:rPr>
                <w:b/>
                <w:sz w:val="20"/>
                <w:szCs w:val="20"/>
              </w:rPr>
            </w:pPr>
            <w:r w:rsidRPr="004962B8">
              <w:rPr>
                <w:b/>
                <w:sz w:val="20"/>
                <w:szCs w:val="20"/>
              </w:rPr>
              <w:t>2020 год</w:t>
            </w:r>
          </w:p>
        </w:tc>
        <w:tc>
          <w:tcPr>
            <w:tcW w:w="992" w:type="dxa"/>
            <w:vMerge w:val="restart"/>
            <w:shd w:val="clear" w:color="auto" w:fill="auto"/>
            <w:hideMark/>
          </w:tcPr>
          <w:p w:rsidR="00302C34" w:rsidRPr="004962B8" w:rsidRDefault="00302C34" w:rsidP="007A6C29">
            <w:pPr>
              <w:jc w:val="center"/>
              <w:rPr>
                <w:b/>
                <w:sz w:val="20"/>
                <w:szCs w:val="20"/>
              </w:rPr>
            </w:pPr>
            <w:r w:rsidRPr="004962B8">
              <w:rPr>
                <w:b/>
                <w:sz w:val="20"/>
                <w:szCs w:val="20"/>
              </w:rPr>
              <w:t>2021 год</w:t>
            </w:r>
          </w:p>
        </w:tc>
        <w:tc>
          <w:tcPr>
            <w:tcW w:w="851" w:type="dxa"/>
            <w:vMerge w:val="restart"/>
            <w:shd w:val="clear" w:color="auto" w:fill="auto"/>
            <w:hideMark/>
          </w:tcPr>
          <w:p w:rsidR="00302C34" w:rsidRPr="004962B8" w:rsidRDefault="00302C34" w:rsidP="007A6C29">
            <w:pPr>
              <w:jc w:val="center"/>
              <w:rPr>
                <w:b/>
                <w:sz w:val="20"/>
                <w:szCs w:val="20"/>
              </w:rPr>
            </w:pPr>
            <w:r w:rsidRPr="004962B8">
              <w:rPr>
                <w:b/>
                <w:sz w:val="20"/>
                <w:szCs w:val="20"/>
              </w:rPr>
              <w:t>2022 год</w:t>
            </w:r>
          </w:p>
        </w:tc>
        <w:tc>
          <w:tcPr>
            <w:tcW w:w="1701" w:type="dxa"/>
            <w:gridSpan w:val="2"/>
            <w:shd w:val="clear" w:color="auto" w:fill="auto"/>
            <w:hideMark/>
          </w:tcPr>
          <w:p w:rsidR="00302C34" w:rsidRPr="004962B8" w:rsidRDefault="00302C34" w:rsidP="007A6C29">
            <w:pPr>
              <w:jc w:val="center"/>
              <w:rPr>
                <w:b/>
                <w:sz w:val="20"/>
                <w:szCs w:val="20"/>
              </w:rPr>
            </w:pPr>
            <w:r w:rsidRPr="004962B8">
              <w:rPr>
                <w:b/>
                <w:sz w:val="20"/>
                <w:szCs w:val="20"/>
              </w:rPr>
              <w:t>2023 год</w:t>
            </w:r>
          </w:p>
        </w:tc>
        <w:tc>
          <w:tcPr>
            <w:tcW w:w="1701" w:type="dxa"/>
            <w:gridSpan w:val="2"/>
            <w:shd w:val="clear" w:color="auto" w:fill="auto"/>
            <w:hideMark/>
          </w:tcPr>
          <w:p w:rsidR="00302C34" w:rsidRPr="004962B8" w:rsidRDefault="00302C34" w:rsidP="007A6C29">
            <w:pPr>
              <w:jc w:val="center"/>
              <w:rPr>
                <w:b/>
                <w:sz w:val="20"/>
                <w:szCs w:val="20"/>
              </w:rPr>
            </w:pPr>
            <w:r w:rsidRPr="004962B8">
              <w:rPr>
                <w:b/>
                <w:sz w:val="20"/>
                <w:szCs w:val="20"/>
              </w:rPr>
              <w:t>2024 год</w:t>
            </w:r>
          </w:p>
        </w:tc>
        <w:tc>
          <w:tcPr>
            <w:tcW w:w="1701" w:type="dxa"/>
            <w:gridSpan w:val="2"/>
            <w:shd w:val="clear" w:color="auto" w:fill="auto"/>
            <w:hideMark/>
          </w:tcPr>
          <w:p w:rsidR="00302C34" w:rsidRPr="004962B8" w:rsidRDefault="00302C34" w:rsidP="007A6C29">
            <w:pPr>
              <w:jc w:val="center"/>
              <w:rPr>
                <w:b/>
                <w:sz w:val="20"/>
                <w:szCs w:val="20"/>
              </w:rPr>
            </w:pPr>
            <w:r w:rsidRPr="004962B8">
              <w:rPr>
                <w:b/>
                <w:sz w:val="20"/>
                <w:szCs w:val="20"/>
              </w:rPr>
              <w:t>2025 год</w:t>
            </w:r>
          </w:p>
        </w:tc>
        <w:tc>
          <w:tcPr>
            <w:tcW w:w="1701" w:type="dxa"/>
            <w:gridSpan w:val="2"/>
            <w:shd w:val="clear" w:color="auto" w:fill="auto"/>
            <w:hideMark/>
          </w:tcPr>
          <w:p w:rsidR="00302C34" w:rsidRPr="004962B8" w:rsidRDefault="00302C34" w:rsidP="007A6C29">
            <w:pPr>
              <w:jc w:val="center"/>
              <w:rPr>
                <w:b/>
                <w:sz w:val="20"/>
                <w:szCs w:val="20"/>
              </w:rPr>
            </w:pPr>
            <w:r w:rsidRPr="004962B8">
              <w:rPr>
                <w:b/>
                <w:sz w:val="20"/>
                <w:szCs w:val="20"/>
              </w:rPr>
              <w:t>2026</w:t>
            </w:r>
            <w:r w:rsidR="00FE2EBE">
              <w:rPr>
                <w:b/>
                <w:sz w:val="20"/>
                <w:szCs w:val="20"/>
              </w:rPr>
              <w:t xml:space="preserve"> </w:t>
            </w:r>
            <w:r w:rsidRPr="004962B8">
              <w:rPr>
                <w:b/>
                <w:sz w:val="20"/>
                <w:szCs w:val="20"/>
              </w:rPr>
              <w:t>год</w:t>
            </w:r>
          </w:p>
        </w:tc>
        <w:tc>
          <w:tcPr>
            <w:tcW w:w="1701" w:type="dxa"/>
            <w:gridSpan w:val="2"/>
            <w:shd w:val="clear" w:color="auto" w:fill="auto"/>
            <w:hideMark/>
          </w:tcPr>
          <w:p w:rsidR="00302C34" w:rsidRPr="004962B8" w:rsidRDefault="00302C34" w:rsidP="007A6C29">
            <w:pPr>
              <w:jc w:val="center"/>
              <w:rPr>
                <w:b/>
                <w:sz w:val="20"/>
                <w:szCs w:val="20"/>
              </w:rPr>
            </w:pPr>
            <w:r w:rsidRPr="004962B8">
              <w:rPr>
                <w:b/>
                <w:sz w:val="20"/>
                <w:szCs w:val="20"/>
              </w:rPr>
              <w:t>2027 год</w:t>
            </w:r>
          </w:p>
        </w:tc>
        <w:tc>
          <w:tcPr>
            <w:tcW w:w="1701" w:type="dxa"/>
            <w:gridSpan w:val="2"/>
            <w:shd w:val="clear" w:color="auto" w:fill="auto"/>
            <w:hideMark/>
          </w:tcPr>
          <w:p w:rsidR="00302C34" w:rsidRPr="004962B8" w:rsidRDefault="00302C34" w:rsidP="007A6C29">
            <w:pPr>
              <w:jc w:val="center"/>
              <w:rPr>
                <w:b/>
                <w:sz w:val="20"/>
                <w:szCs w:val="20"/>
              </w:rPr>
            </w:pPr>
            <w:r w:rsidRPr="004962B8">
              <w:rPr>
                <w:b/>
                <w:sz w:val="20"/>
                <w:szCs w:val="20"/>
              </w:rPr>
              <w:t>2028 год</w:t>
            </w:r>
          </w:p>
        </w:tc>
      </w:tr>
      <w:tr w:rsidR="00302C34" w:rsidRPr="004962B8" w:rsidTr="00544321">
        <w:trPr>
          <w:trHeight w:val="123"/>
          <w:jc w:val="right"/>
        </w:trPr>
        <w:tc>
          <w:tcPr>
            <w:tcW w:w="1564" w:type="dxa"/>
            <w:vMerge/>
            <w:hideMark/>
          </w:tcPr>
          <w:p w:rsidR="00302C34" w:rsidRPr="004962B8" w:rsidRDefault="00302C34" w:rsidP="007A6C29">
            <w:pPr>
              <w:jc w:val="center"/>
              <w:rPr>
                <w:b/>
                <w:sz w:val="20"/>
                <w:szCs w:val="20"/>
              </w:rPr>
            </w:pPr>
          </w:p>
        </w:tc>
        <w:tc>
          <w:tcPr>
            <w:tcW w:w="1417" w:type="dxa"/>
            <w:vMerge/>
            <w:hideMark/>
          </w:tcPr>
          <w:p w:rsidR="00302C34" w:rsidRPr="004962B8" w:rsidRDefault="00302C34" w:rsidP="007A6C29">
            <w:pPr>
              <w:jc w:val="center"/>
              <w:rPr>
                <w:b/>
                <w:sz w:val="20"/>
                <w:szCs w:val="20"/>
              </w:rPr>
            </w:pPr>
          </w:p>
        </w:tc>
        <w:tc>
          <w:tcPr>
            <w:tcW w:w="851" w:type="dxa"/>
            <w:vMerge/>
            <w:hideMark/>
          </w:tcPr>
          <w:p w:rsidR="00302C34" w:rsidRPr="004962B8" w:rsidRDefault="00302C34" w:rsidP="007A6C29">
            <w:pPr>
              <w:jc w:val="center"/>
              <w:rPr>
                <w:b/>
                <w:sz w:val="20"/>
                <w:szCs w:val="20"/>
              </w:rPr>
            </w:pPr>
          </w:p>
        </w:tc>
        <w:tc>
          <w:tcPr>
            <w:tcW w:w="992" w:type="dxa"/>
            <w:vMerge/>
            <w:hideMark/>
          </w:tcPr>
          <w:p w:rsidR="00302C34" w:rsidRPr="004962B8" w:rsidRDefault="00302C34" w:rsidP="007A6C29">
            <w:pPr>
              <w:jc w:val="center"/>
              <w:rPr>
                <w:b/>
                <w:sz w:val="20"/>
                <w:szCs w:val="20"/>
              </w:rPr>
            </w:pPr>
          </w:p>
        </w:tc>
        <w:tc>
          <w:tcPr>
            <w:tcW w:w="851" w:type="dxa"/>
            <w:vMerge/>
            <w:hideMark/>
          </w:tcPr>
          <w:p w:rsidR="00302C34" w:rsidRPr="004962B8" w:rsidRDefault="00302C34" w:rsidP="007A6C29">
            <w:pPr>
              <w:jc w:val="center"/>
              <w:rPr>
                <w:b/>
                <w:sz w:val="20"/>
                <w:szCs w:val="20"/>
              </w:rPr>
            </w:pPr>
          </w:p>
        </w:tc>
        <w:tc>
          <w:tcPr>
            <w:tcW w:w="850"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консервативный вариант</w:t>
            </w:r>
          </w:p>
        </w:tc>
        <w:tc>
          <w:tcPr>
            <w:tcW w:w="851"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базовый вариант</w:t>
            </w:r>
          </w:p>
        </w:tc>
        <w:tc>
          <w:tcPr>
            <w:tcW w:w="850"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консервативный вариант</w:t>
            </w:r>
          </w:p>
        </w:tc>
        <w:tc>
          <w:tcPr>
            <w:tcW w:w="851"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базовый вариант</w:t>
            </w:r>
          </w:p>
        </w:tc>
        <w:tc>
          <w:tcPr>
            <w:tcW w:w="850"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консервативный вариант</w:t>
            </w:r>
          </w:p>
        </w:tc>
        <w:tc>
          <w:tcPr>
            <w:tcW w:w="851"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базовый вариант</w:t>
            </w:r>
          </w:p>
        </w:tc>
        <w:tc>
          <w:tcPr>
            <w:tcW w:w="850"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консервативный вариант</w:t>
            </w:r>
          </w:p>
        </w:tc>
        <w:tc>
          <w:tcPr>
            <w:tcW w:w="851"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базовый вариант</w:t>
            </w:r>
          </w:p>
        </w:tc>
        <w:tc>
          <w:tcPr>
            <w:tcW w:w="850"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консервативный вариант</w:t>
            </w:r>
          </w:p>
        </w:tc>
        <w:tc>
          <w:tcPr>
            <w:tcW w:w="851"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базовый вариант</w:t>
            </w:r>
          </w:p>
        </w:tc>
        <w:tc>
          <w:tcPr>
            <w:tcW w:w="850"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консервативный вариант</w:t>
            </w:r>
          </w:p>
        </w:tc>
        <w:tc>
          <w:tcPr>
            <w:tcW w:w="851" w:type="dxa"/>
            <w:shd w:val="clear" w:color="auto" w:fill="auto"/>
            <w:vAlign w:val="center"/>
            <w:hideMark/>
          </w:tcPr>
          <w:p w:rsidR="00302C34" w:rsidRPr="004962B8" w:rsidRDefault="00302C34" w:rsidP="007A6C29">
            <w:pPr>
              <w:widowControl w:val="0"/>
              <w:tabs>
                <w:tab w:val="left" w:pos="567"/>
              </w:tabs>
              <w:jc w:val="center"/>
              <w:rPr>
                <w:b/>
                <w:sz w:val="20"/>
                <w:szCs w:val="20"/>
              </w:rPr>
            </w:pPr>
            <w:r w:rsidRPr="004962B8">
              <w:rPr>
                <w:b/>
                <w:sz w:val="20"/>
                <w:szCs w:val="20"/>
              </w:rPr>
              <w:t>базовый вариант</w:t>
            </w:r>
          </w:p>
        </w:tc>
      </w:tr>
      <w:tr w:rsidR="00302C34" w:rsidRPr="004962B8" w:rsidTr="00544321">
        <w:trPr>
          <w:trHeight w:val="96"/>
          <w:jc w:val="right"/>
        </w:trPr>
        <w:tc>
          <w:tcPr>
            <w:tcW w:w="15881" w:type="dxa"/>
            <w:gridSpan w:val="17"/>
            <w:shd w:val="clear" w:color="auto" w:fill="auto"/>
            <w:hideMark/>
          </w:tcPr>
          <w:p w:rsidR="00302C34" w:rsidRPr="004962B8" w:rsidRDefault="00302C34" w:rsidP="007A6C29">
            <w:pPr>
              <w:jc w:val="center"/>
              <w:rPr>
                <w:b/>
                <w:sz w:val="20"/>
                <w:szCs w:val="20"/>
              </w:rPr>
            </w:pPr>
            <w:r w:rsidRPr="004962B8">
              <w:rPr>
                <w:b/>
                <w:sz w:val="20"/>
                <w:szCs w:val="20"/>
              </w:rPr>
              <w:t>Население</w:t>
            </w:r>
          </w:p>
        </w:tc>
      </w:tr>
      <w:tr w:rsidR="00302C34" w:rsidRPr="004962B8" w:rsidTr="00544321">
        <w:trPr>
          <w:trHeight w:val="191"/>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Численность населения (в среднегодовом исчислении)</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тыс. чел.</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36,108</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36,261</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36,302</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36,306</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36,311</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36,314</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36,329</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36,328</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36,357</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36,348</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36,393</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36,371</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36,438</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36,400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36,494</w:t>
            </w:r>
          </w:p>
        </w:tc>
      </w:tr>
      <w:tr w:rsidR="00302C34" w:rsidRPr="004962B8" w:rsidTr="00544321">
        <w:trPr>
          <w:trHeight w:val="96"/>
          <w:jc w:val="right"/>
        </w:trPr>
        <w:tc>
          <w:tcPr>
            <w:tcW w:w="15881" w:type="dxa"/>
            <w:gridSpan w:val="17"/>
            <w:shd w:val="clear" w:color="auto" w:fill="auto"/>
            <w:hideMark/>
          </w:tcPr>
          <w:p w:rsidR="00302C34" w:rsidRPr="004962B8" w:rsidRDefault="00302C34" w:rsidP="007A6C29">
            <w:pPr>
              <w:jc w:val="center"/>
              <w:rPr>
                <w:b/>
                <w:sz w:val="20"/>
                <w:szCs w:val="20"/>
              </w:rPr>
            </w:pPr>
            <w:r w:rsidRPr="004962B8">
              <w:rPr>
                <w:b/>
                <w:sz w:val="20"/>
                <w:szCs w:val="20"/>
              </w:rPr>
              <w:t>Промышленное производство</w:t>
            </w:r>
          </w:p>
        </w:tc>
      </w:tr>
      <w:tr w:rsidR="00302C34" w:rsidRPr="004962B8" w:rsidTr="00544321">
        <w:trPr>
          <w:trHeight w:val="293"/>
          <w:jc w:val="right"/>
        </w:trPr>
        <w:tc>
          <w:tcPr>
            <w:tcW w:w="1564" w:type="dxa"/>
            <w:shd w:val="clear" w:color="000000" w:fill="FFFFFF"/>
            <w:hideMark/>
          </w:tcPr>
          <w:p w:rsidR="00302C34" w:rsidRPr="004962B8" w:rsidRDefault="00302C34" w:rsidP="007A6C29">
            <w:pPr>
              <w:jc w:val="center"/>
              <w:rPr>
                <w:sz w:val="20"/>
                <w:szCs w:val="20"/>
              </w:rPr>
            </w:pPr>
            <w:r w:rsidRPr="004962B8">
              <w:rPr>
                <w:sz w:val="20"/>
                <w:szCs w:val="20"/>
              </w:rPr>
              <w:t>Объем отгруженной продукции (работ. услуг)</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млрд. руб.</w:t>
            </w:r>
          </w:p>
        </w:tc>
        <w:tc>
          <w:tcPr>
            <w:tcW w:w="851" w:type="dxa"/>
            <w:shd w:val="clear" w:color="000000" w:fill="FFFFFF"/>
            <w:noWrap/>
            <w:vAlign w:val="center"/>
            <w:hideMark/>
          </w:tcPr>
          <w:p w:rsidR="00302C34" w:rsidRPr="004962B8" w:rsidRDefault="00302C34" w:rsidP="007A6C29">
            <w:pPr>
              <w:rPr>
                <w:sz w:val="20"/>
                <w:szCs w:val="20"/>
              </w:rPr>
            </w:pPr>
            <w:r w:rsidRPr="004962B8">
              <w:rPr>
                <w:sz w:val="20"/>
                <w:szCs w:val="20"/>
              </w:rPr>
              <w:t xml:space="preserve">  673,6   </w:t>
            </w:r>
          </w:p>
        </w:tc>
        <w:tc>
          <w:tcPr>
            <w:tcW w:w="992" w:type="dxa"/>
            <w:shd w:val="clear" w:color="000000" w:fill="FFFFFF"/>
            <w:noWrap/>
            <w:vAlign w:val="center"/>
            <w:hideMark/>
          </w:tcPr>
          <w:p w:rsidR="00302C34" w:rsidRPr="004962B8" w:rsidRDefault="00302C34" w:rsidP="007A6C29">
            <w:pPr>
              <w:jc w:val="center"/>
              <w:rPr>
                <w:sz w:val="20"/>
                <w:szCs w:val="20"/>
              </w:rPr>
            </w:pPr>
            <w:r w:rsidRPr="004962B8">
              <w:rPr>
                <w:sz w:val="20"/>
                <w:szCs w:val="20"/>
              </w:rPr>
              <w:t>1 257,1</w:t>
            </w:r>
          </w:p>
        </w:tc>
        <w:tc>
          <w:tcPr>
            <w:tcW w:w="851" w:type="dxa"/>
            <w:shd w:val="clear" w:color="000000" w:fill="FFFFFF"/>
            <w:noWrap/>
            <w:vAlign w:val="center"/>
            <w:hideMark/>
          </w:tcPr>
          <w:p w:rsidR="00302C34" w:rsidRPr="004962B8" w:rsidRDefault="00302C34" w:rsidP="007A6C29">
            <w:pPr>
              <w:jc w:val="center"/>
              <w:rPr>
                <w:sz w:val="20"/>
                <w:szCs w:val="20"/>
              </w:rPr>
            </w:pPr>
            <w:r w:rsidRPr="004962B8">
              <w:rPr>
                <w:sz w:val="20"/>
                <w:szCs w:val="20"/>
              </w:rPr>
              <w:t>1 426,1</w:t>
            </w:r>
          </w:p>
        </w:tc>
        <w:tc>
          <w:tcPr>
            <w:tcW w:w="850" w:type="dxa"/>
            <w:shd w:val="clear" w:color="000000" w:fill="FFFFFF"/>
            <w:noWrap/>
            <w:vAlign w:val="center"/>
          </w:tcPr>
          <w:p w:rsidR="00302C34" w:rsidRPr="004962B8" w:rsidRDefault="00302C34" w:rsidP="007A6C29">
            <w:pPr>
              <w:jc w:val="center"/>
              <w:rPr>
                <w:sz w:val="20"/>
                <w:szCs w:val="20"/>
              </w:rPr>
            </w:pPr>
            <w:r w:rsidRPr="004962B8">
              <w:rPr>
                <w:sz w:val="20"/>
                <w:szCs w:val="20"/>
              </w:rPr>
              <w:t>1 278,1</w:t>
            </w:r>
          </w:p>
        </w:tc>
        <w:tc>
          <w:tcPr>
            <w:tcW w:w="851" w:type="dxa"/>
            <w:shd w:val="clear" w:color="000000" w:fill="FFFFFF"/>
            <w:noWrap/>
            <w:vAlign w:val="center"/>
          </w:tcPr>
          <w:p w:rsidR="00302C34" w:rsidRPr="004962B8" w:rsidRDefault="00302C34" w:rsidP="007A6C29">
            <w:pPr>
              <w:jc w:val="center"/>
              <w:rPr>
                <w:sz w:val="20"/>
                <w:szCs w:val="20"/>
              </w:rPr>
            </w:pPr>
            <w:r w:rsidRPr="004962B8">
              <w:rPr>
                <w:sz w:val="20"/>
                <w:szCs w:val="20"/>
              </w:rPr>
              <w:t>1 347,7</w:t>
            </w:r>
          </w:p>
        </w:tc>
        <w:tc>
          <w:tcPr>
            <w:tcW w:w="850" w:type="dxa"/>
            <w:shd w:val="clear" w:color="000000" w:fill="FFFFFF"/>
            <w:noWrap/>
            <w:vAlign w:val="center"/>
          </w:tcPr>
          <w:p w:rsidR="00302C34" w:rsidRPr="004962B8" w:rsidRDefault="00302C34" w:rsidP="007A6C29">
            <w:pPr>
              <w:jc w:val="center"/>
              <w:rPr>
                <w:sz w:val="20"/>
                <w:szCs w:val="20"/>
              </w:rPr>
            </w:pPr>
            <w:r w:rsidRPr="004962B8">
              <w:rPr>
                <w:sz w:val="20"/>
                <w:szCs w:val="20"/>
              </w:rPr>
              <w:t>1 249,5</w:t>
            </w:r>
          </w:p>
        </w:tc>
        <w:tc>
          <w:tcPr>
            <w:tcW w:w="851" w:type="dxa"/>
            <w:shd w:val="clear" w:color="000000" w:fill="FFFFFF"/>
            <w:noWrap/>
            <w:vAlign w:val="center"/>
          </w:tcPr>
          <w:p w:rsidR="00302C34" w:rsidRPr="004962B8" w:rsidRDefault="00302C34" w:rsidP="007A6C29">
            <w:pPr>
              <w:jc w:val="center"/>
              <w:rPr>
                <w:sz w:val="20"/>
                <w:szCs w:val="20"/>
              </w:rPr>
            </w:pPr>
            <w:r w:rsidRPr="004962B8">
              <w:rPr>
                <w:sz w:val="20"/>
                <w:szCs w:val="20"/>
              </w:rPr>
              <w:t>1 326,2</w:t>
            </w:r>
          </w:p>
        </w:tc>
        <w:tc>
          <w:tcPr>
            <w:tcW w:w="850" w:type="dxa"/>
            <w:shd w:val="clear" w:color="000000" w:fill="FFFFFF"/>
            <w:noWrap/>
            <w:vAlign w:val="center"/>
          </w:tcPr>
          <w:p w:rsidR="00302C34" w:rsidRPr="004962B8" w:rsidRDefault="00302C34" w:rsidP="007A6C29">
            <w:pPr>
              <w:jc w:val="center"/>
              <w:rPr>
                <w:sz w:val="20"/>
                <w:szCs w:val="20"/>
              </w:rPr>
            </w:pPr>
            <w:r w:rsidRPr="004962B8">
              <w:rPr>
                <w:sz w:val="20"/>
                <w:szCs w:val="20"/>
              </w:rPr>
              <w:t>1 241,3</w:t>
            </w:r>
          </w:p>
        </w:tc>
        <w:tc>
          <w:tcPr>
            <w:tcW w:w="851" w:type="dxa"/>
            <w:shd w:val="clear" w:color="000000" w:fill="FFFFFF"/>
            <w:noWrap/>
            <w:vAlign w:val="center"/>
          </w:tcPr>
          <w:p w:rsidR="00302C34" w:rsidRPr="004962B8" w:rsidRDefault="00302C34" w:rsidP="007A6C29">
            <w:pPr>
              <w:jc w:val="center"/>
              <w:rPr>
                <w:sz w:val="20"/>
                <w:szCs w:val="20"/>
              </w:rPr>
            </w:pPr>
            <w:r w:rsidRPr="004962B8">
              <w:rPr>
                <w:sz w:val="20"/>
                <w:szCs w:val="20"/>
              </w:rPr>
              <w:t>1 316,9</w:t>
            </w:r>
          </w:p>
        </w:tc>
        <w:tc>
          <w:tcPr>
            <w:tcW w:w="850" w:type="dxa"/>
            <w:shd w:val="clear" w:color="000000" w:fill="FFFFFF"/>
            <w:noWrap/>
            <w:vAlign w:val="center"/>
          </w:tcPr>
          <w:p w:rsidR="00302C34" w:rsidRPr="004962B8" w:rsidRDefault="00302C34" w:rsidP="007A6C29">
            <w:pPr>
              <w:jc w:val="center"/>
              <w:rPr>
                <w:sz w:val="20"/>
                <w:szCs w:val="20"/>
              </w:rPr>
            </w:pPr>
            <w:r w:rsidRPr="004962B8">
              <w:rPr>
                <w:sz w:val="20"/>
                <w:szCs w:val="20"/>
              </w:rPr>
              <w:t>1 233,4</w:t>
            </w:r>
          </w:p>
        </w:tc>
        <w:tc>
          <w:tcPr>
            <w:tcW w:w="851" w:type="dxa"/>
            <w:shd w:val="clear" w:color="000000" w:fill="FFFFFF"/>
            <w:noWrap/>
            <w:vAlign w:val="center"/>
          </w:tcPr>
          <w:p w:rsidR="00302C34" w:rsidRPr="004962B8" w:rsidRDefault="00302C34" w:rsidP="007A6C29">
            <w:pPr>
              <w:jc w:val="center"/>
              <w:rPr>
                <w:sz w:val="20"/>
                <w:szCs w:val="20"/>
              </w:rPr>
            </w:pPr>
            <w:r w:rsidRPr="004962B8">
              <w:rPr>
                <w:sz w:val="20"/>
                <w:szCs w:val="20"/>
              </w:rPr>
              <w:t>1 298,4</w:t>
            </w:r>
          </w:p>
        </w:tc>
        <w:tc>
          <w:tcPr>
            <w:tcW w:w="850" w:type="dxa"/>
            <w:shd w:val="clear" w:color="000000" w:fill="FFFFFF"/>
            <w:noWrap/>
            <w:vAlign w:val="center"/>
          </w:tcPr>
          <w:p w:rsidR="00302C34" w:rsidRPr="004962B8" w:rsidRDefault="00302C34" w:rsidP="007A6C29">
            <w:pPr>
              <w:jc w:val="center"/>
              <w:rPr>
                <w:sz w:val="20"/>
                <w:szCs w:val="20"/>
              </w:rPr>
            </w:pPr>
            <w:r w:rsidRPr="004962B8">
              <w:rPr>
                <w:sz w:val="20"/>
                <w:szCs w:val="20"/>
              </w:rPr>
              <w:t>1 215,6</w:t>
            </w:r>
          </w:p>
        </w:tc>
        <w:tc>
          <w:tcPr>
            <w:tcW w:w="851" w:type="dxa"/>
            <w:shd w:val="clear" w:color="000000" w:fill="FFFFFF"/>
            <w:noWrap/>
            <w:vAlign w:val="center"/>
          </w:tcPr>
          <w:p w:rsidR="00302C34" w:rsidRPr="004962B8" w:rsidRDefault="00302C34" w:rsidP="007A6C29">
            <w:pPr>
              <w:jc w:val="center"/>
              <w:rPr>
                <w:sz w:val="20"/>
                <w:szCs w:val="20"/>
              </w:rPr>
            </w:pPr>
            <w:r w:rsidRPr="004962B8">
              <w:rPr>
                <w:sz w:val="20"/>
                <w:szCs w:val="20"/>
              </w:rPr>
              <w:t>1 292,8</w:t>
            </w:r>
          </w:p>
        </w:tc>
        <w:tc>
          <w:tcPr>
            <w:tcW w:w="850" w:type="dxa"/>
            <w:shd w:val="clear" w:color="000000" w:fill="FFFFFF"/>
            <w:noWrap/>
            <w:vAlign w:val="center"/>
          </w:tcPr>
          <w:p w:rsidR="00302C34" w:rsidRPr="004962B8" w:rsidRDefault="00302C34" w:rsidP="007A6C29">
            <w:pPr>
              <w:jc w:val="center"/>
              <w:rPr>
                <w:sz w:val="20"/>
                <w:szCs w:val="20"/>
              </w:rPr>
            </w:pPr>
            <w:r w:rsidRPr="004962B8">
              <w:rPr>
                <w:sz w:val="20"/>
                <w:szCs w:val="20"/>
              </w:rPr>
              <w:t>1 212,9</w:t>
            </w:r>
          </w:p>
        </w:tc>
        <w:tc>
          <w:tcPr>
            <w:tcW w:w="851" w:type="dxa"/>
            <w:shd w:val="clear" w:color="000000" w:fill="FFFFFF"/>
            <w:noWrap/>
            <w:vAlign w:val="center"/>
          </w:tcPr>
          <w:p w:rsidR="00302C34" w:rsidRPr="004962B8" w:rsidRDefault="00302C34" w:rsidP="007A6C29">
            <w:pPr>
              <w:jc w:val="center"/>
              <w:rPr>
                <w:sz w:val="20"/>
                <w:szCs w:val="20"/>
              </w:rPr>
            </w:pPr>
            <w:r w:rsidRPr="004962B8">
              <w:rPr>
                <w:sz w:val="20"/>
                <w:szCs w:val="20"/>
              </w:rPr>
              <w:t>1 286,9</w:t>
            </w:r>
          </w:p>
        </w:tc>
      </w:tr>
      <w:tr w:rsidR="00302C34" w:rsidRPr="004962B8" w:rsidTr="00544321">
        <w:trPr>
          <w:trHeight w:val="369"/>
          <w:jc w:val="right"/>
        </w:trPr>
        <w:tc>
          <w:tcPr>
            <w:tcW w:w="1564" w:type="dxa"/>
            <w:shd w:val="clear" w:color="000000" w:fill="FFFFFF"/>
            <w:hideMark/>
          </w:tcPr>
          <w:p w:rsidR="00302C34" w:rsidRPr="004962B8" w:rsidRDefault="00302C34" w:rsidP="007A6C29">
            <w:pPr>
              <w:jc w:val="center"/>
              <w:rPr>
                <w:sz w:val="20"/>
                <w:szCs w:val="20"/>
              </w:rPr>
            </w:pPr>
            <w:r w:rsidRPr="004962B8">
              <w:rPr>
                <w:sz w:val="20"/>
                <w:szCs w:val="20"/>
              </w:rPr>
              <w:t>Индекс промышленного производства</w:t>
            </w:r>
          </w:p>
        </w:tc>
        <w:tc>
          <w:tcPr>
            <w:tcW w:w="1417" w:type="dxa"/>
            <w:shd w:val="clear" w:color="000000" w:fill="FFFFFF"/>
            <w:hideMark/>
          </w:tcPr>
          <w:p w:rsidR="00302C34" w:rsidRPr="004962B8" w:rsidRDefault="00302C34" w:rsidP="007A6C29">
            <w:pPr>
              <w:jc w:val="center"/>
              <w:rPr>
                <w:sz w:val="20"/>
                <w:szCs w:val="20"/>
              </w:rPr>
            </w:pPr>
            <w:r w:rsidRPr="004962B8">
              <w:rPr>
                <w:sz w:val="20"/>
                <w:szCs w:val="20"/>
              </w:rPr>
              <w:t>% к предыдущему году в сопоставимых ценах</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82,9</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101,3</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102,5</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96,7</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99,9</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98,2</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98,3</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98,5</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99,0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98,7</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98,8</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98,8</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99,0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99,8</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99,9</w:t>
            </w:r>
          </w:p>
        </w:tc>
      </w:tr>
      <w:tr w:rsidR="00302C34" w:rsidRPr="004962B8" w:rsidTr="00544321">
        <w:trPr>
          <w:trHeight w:val="491"/>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Добыча полезных ископаемых (раздел В)</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к предыдущему году в сопоставимых ценах</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83,79</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101,3</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102,5</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96,8</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98,6</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98,16</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98,59</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98,6</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98,7</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98,6</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98,8</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98,7</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98,9</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99,1</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99,5</w:t>
            </w:r>
          </w:p>
        </w:tc>
      </w:tr>
      <w:tr w:rsidR="00302C34" w:rsidRPr="004962B8" w:rsidTr="00544321">
        <w:trPr>
          <w:trHeight w:val="387"/>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Обрабатывающие производства (раздел С)</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xml:space="preserve">% к предыдущему году в </w:t>
            </w:r>
            <w:r w:rsidRPr="004962B8">
              <w:rPr>
                <w:sz w:val="20"/>
                <w:szCs w:val="20"/>
              </w:rPr>
              <w:lastRenderedPageBreak/>
              <w:t>сопоставимых ценах</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lastRenderedPageBreak/>
              <w:t>99,3</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99,4</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100,1</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99,9</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100,9</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100,4</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100,5</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100,5</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100,5</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100,2</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100,6</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100,5</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100,7</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100,9</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101,1</w:t>
            </w:r>
          </w:p>
        </w:tc>
      </w:tr>
      <w:tr w:rsidR="00302C34" w:rsidRPr="004962B8" w:rsidTr="00544321">
        <w:trPr>
          <w:trHeight w:val="412"/>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Обеспечение электрической энергией, газом и паром; кондиционирование воздуха (раздел D)</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к предыдущему году в сопоставимых ценах</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85,5</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118,2</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103,4</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78,6</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81,7</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76,0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76,7</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141,4</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142,1</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110,3</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110,9</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100,1</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100,2</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100,3</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100,3</w:t>
            </w:r>
          </w:p>
        </w:tc>
      </w:tr>
      <w:tr w:rsidR="00302C34" w:rsidRPr="004962B8" w:rsidTr="00544321">
        <w:trPr>
          <w:trHeight w:val="503"/>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Водоснабжение; водоотведение, организация сбора и утилизации отходов, деятельность по ликвидации загрязнений (раздел Е)</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к предыдущему году в сопоставимых ценах</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100,0</w:t>
            </w:r>
          </w:p>
        </w:tc>
        <w:tc>
          <w:tcPr>
            <w:tcW w:w="992" w:type="dxa"/>
            <w:shd w:val="clear" w:color="auto" w:fill="auto"/>
            <w:noWrap/>
            <w:vAlign w:val="center"/>
          </w:tcPr>
          <w:p w:rsidR="00302C34" w:rsidRPr="004962B8" w:rsidRDefault="00302C34" w:rsidP="007A6C29">
            <w:pPr>
              <w:jc w:val="center"/>
              <w:rPr>
                <w:sz w:val="20"/>
                <w:szCs w:val="20"/>
              </w:rPr>
            </w:pPr>
            <w:r w:rsidRPr="004962B8">
              <w:rPr>
                <w:sz w:val="20"/>
                <w:szCs w:val="20"/>
              </w:rPr>
              <w:t>89,8</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101,0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100,2</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100,3</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100,4</w:t>
            </w:r>
          </w:p>
        </w:tc>
        <w:tc>
          <w:tcPr>
            <w:tcW w:w="850" w:type="dxa"/>
            <w:shd w:val="clear" w:color="auto" w:fill="auto"/>
            <w:noWrap/>
            <w:vAlign w:val="center"/>
          </w:tcPr>
          <w:p w:rsidR="00302C34" w:rsidRPr="004962B8" w:rsidRDefault="00302C34" w:rsidP="007A6C29">
            <w:pPr>
              <w:jc w:val="center"/>
              <w:rPr>
                <w:sz w:val="22"/>
                <w:szCs w:val="22"/>
              </w:rPr>
            </w:pPr>
            <w:r w:rsidRPr="004962B8">
              <w:rPr>
                <w:sz w:val="22"/>
                <w:szCs w:val="22"/>
              </w:rPr>
              <w:t>100,0</w:t>
            </w:r>
          </w:p>
        </w:tc>
        <w:tc>
          <w:tcPr>
            <w:tcW w:w="851" w:type="dxa"/>
            <w:shd w:val="clear" w:color="auto" w:fill="auto"/>
            <w:noWrap/>
            <w:vAlign w:val="center"/>
          </w:tcPr>
          <w:p w:rsidR="00302C34" w:rsidRPr="004962B8" w:rsidRDefault="00302C34" w:rsidP="007A6C29">
            <w:pPr>
              <w:jc w:val="center"/>
              <w:rPr>
                <w:sz w:val="22"/>
                <w:szCs w:val="22"/>
              </w:rPr>
            </w:pPr>
            <w:r w:rsidRPr="004962B8">
              <w:rPr>
                <w:sz w:val="22"/>
                <w:szCs w:val="22"/>
              </w:rPr>
              <w:t>100,1</w:t>
            </w:r>
          </w:p>
        </w:tc>
        <w:tc>
          <w:tcPr>
            <w:tcW w:w="850" w:type="dxa"/>
            <w:shd w:val="clear" w:color="auto" w:fill="auto"/>
            <w:noWrap/>
            <w:vAlign w:val="center"/>
          </w:tcPr>
          <w:p w:rsidR="00302C34" w:rsidRPr="004962B8" w:rsidRDefault="00302C34" w:rsidP="007A6C29">
            <w:pPr>
              <w:jc w:val="center"/>
              <w:rPr>
                <w:sz w:val="22"/>
                <w:szCs w:val="22"/>
              </w:rPr>
            </w:pPr>
            <w:r w:rsidRPr="004962B8">
              <w:rPr>
                <w:sz w:val="22"/>
                <w:szCs w:val="22"/>
              </w:rPr>
              <w:t>100,3</w:t>
            </w:r>
          </w:p>
        </w:tc>
        <w:tc>
          <w:tcPr>
            <w:tcW w:w="851" w:type="dxa"/>
            <w:shd w:val="clear" w:color="auto" w:fill="auto"/>
            <w:noWrap/>
            <w:vAlign w:val="center"/>
          </w:tcPr>
          <w:p w:rsidR="00302C34" w:rsidRPr="004962B8" w:rsidRDefault="00302C34" w:rsidP="007A6C29">
            <w:pPr>
              <w:jc w:val="center"/>
              <w:rPr>
                <w:sz w:val="22"/>
                <w:szCs w:val="22"/>
              </w:rPr>
            </w:pPr>
            <w:r w:rsidRPr="004962B8">
              <w:rPr>
                <w:sz w:val="22"/>
                <w:szCs w:val="22"/>
              </w:rPr>
              <w:t>100,4</w:t>
            </w:r>
          </w:p>
        </w:tc>
        <w:tc>
          <w:tcPr>
            <w:tcW w:w="850" w:type="dxa"/>
            <w:shd w:val="clear" w:color="auto" w:fill="auto"/>
            <w:noWrap/>
            <w:vAlign w:val="center"/>
          </w:tcPr>
          <w:p w:rsidR="00302C34" w:rsidRPr="004962B8" w:rsidRDefault="00302C34" w:rsidP="007A6C29">
            <w:pPr>
              <w:jc w:val="center"/>
              <w:rPr>
                <w:sz w:val="22"/>
                <w:szCs w:val="22"/>
              </w:rPr>
            </w:pPr>
            <w:r w:rsidRPr="004962B8">
              <w:rPr>
                <w:sz w:val="22"/>
                <w:szCs w:val="22"/>
              </w:rPr>
              <w:t>100,4</w:t>
            </w:r>
          </w:p>
        </w:tc>
        <w:tc>
          <w:tcPr>
            <w:tcW w:w="851" w:type="dxa"/>
            <w:shd w:val="clear" w:color="auto" w:fill="auto"/>
            <w:noWrap/>
            <w:vAlign w:val="center"/>
          </w:tcPr>
          <w:p w:rsidR="00302C34" w:rsidRPr="004962B8" w:rsidRDefault="00302C34" w:rsidP="007A6C29">
            <w:pPr>
              <w:jc w:val="center"/>
              <w:rPr>
                <w:sz w:val="22"/>
                <w:szCs w:val="22"/>
              </w:rPr>
            </w:pPr>
            <w:r w:rsidRPr="004962B8">
              <w:rPr>
                <w:sz w:val="22"/>
                <w:szCs w:val="22"/>
              </w:rPr>
              <w:t>100,5</w:t>
            </w:r>
          </w:p>
        </w:tc>
      </w:tr>
      <w:tr w:rsidR="00302C34" w:rsidRPr="004962B8" w:rsidTr="00544321">
        <w:trPr>
          <w:trHeight w:val="96"/>
          <w:jc w:val="right"/>
        </w:trPr>
        <w:tc>
          <w:tcPr>
            <w:tcW w:w="15881" w:type="dxa"/>
            <w:gridSpan w:val="17"/>
            <w:shd w:val="clear" w:color="auto" w:fill="auto"/>
            <w:hideMark/>
          </w:tcPr>
          <w:p w:rsidR="00302C34" w:rsidRPr="004962B8" w:rsidRDefault="00302C34" w:rsidP="007A6C29">
            <w:pPr>
              <w:jc w:val="center"/>
              <w:rPr>
                <w:b/>
                <w:sz w:val="20"/>
                <w:szCs w:val="20"/>
              </w:rPr>
            </w:pPr>
            <w:r w:rsidRPr="004962B8">
              <w:rPr>
                <w:b/>
                <w:sz w:val="20"/>
                <w:szCs w:val="20"/>
              </w:rPr>
              <w:t>Сельское хозяйство</w:t>
            </w:r>
          </w:p>
        </w:tc>
      </w:tr>
      <w:tr w:rsidR="00302C34" w:rsidRPr="004962B8" w:rsidTr="00544321">
        <w:trPr>
          <w:trHeight w:val="208"/>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Продукция сельского хозяйства</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млн. руб.</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662,5</w:t>
            </w:r>
          </w:p>
        </w:tc>
        <w:tc>
          <w:tcPr>
            <w:tcW w:w="992" w:type="dxa"/>
            <w:shd w:val="clear" w:color="auto" w:fill="auto"/>
            <w:noWrap/>
            <w:vAlign w:val="center"/>
            <w:hideMark/>
          </w:tcPr>
          <w:p w:rsidR="00302C34" w:rsidRPr="004962B8" w:rsidRDefault="00302C34" w:rsidP="007A6C29">
            <w:pPr>
              <w:jc w:val="center"/>
              <w:rPr>
                <w:sz w:val="20"/>
                <w:szCs w:val="13"/>
              </w:rPr>
            </w:pPr>
            <w:r w:rsidRPr="004962B8">
              <w:rPr>
                <w:sz w:val="20"/>
                <w:szCs w:val="13"/>
              </w:rPr>
              <w:t>665,9</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667,2</w:t>
            </w:r>
          </w:p>
        </w:tc>
        <w:tc>
          <w:tcPr>
            <w:tcW w:w="850" w:type="dxa"/>
            <w:shd w:val="clear" w:color="auto" w:fill="auto"/>
            <w:noWrap/>
            <w:vAlign w:val="center"/>
            <w:hideMark/>
          </w:tcPr>
          <w:p w:rsidR="00302C34" w:rsidRPr="004962B8" w:rsidRDefault="00302C34" w:rsidP="007A6C29">
            <w:pPr>
              <w:jc w:val="center"/>
              <w:rPr>
                <w:sz w:val="20"/>
                <w:szCs w:val="13"/>
              </w:rPr>
            </w:pPr>
            <w:r w:rsidRPr="004962B8">
              <w:rPr>
                <w:sz w:val="20"/>
                <w:szCs w:val="13"/>
              </w:rPr>
              <w:t>667,9</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675,8</w:t>
            </w:r>
          </w:p>
        </w:tc>
        <w:tc>
          <w:tcPr>
            <w:tcW w:w="850" w:type="dxa"/>
            <w:shd w:val="clear" w:color="auto" w:fill="auto"/>
            <w:noWrap/>
            <w:vAlign w:val="center"/>
            <w:hideMark/>
          </w:tcPr>
          <w:p w:rsidR="00302C34" w:rsidRPr="004962B8" w:rsidRDefault="00302C34" w:rsidP="007A6C29">
            <w:pPr>
              <w:jc w:val="center"/>
              <w:rPr>
                <w:sz w:val="20"/>
                <w:szCs w:val="13"/>
              </w:rPr>
            </w:pPr>
            <w:r w:rsidRPr="004962B8">
              <w:rPr>
                <w:sz w:val="20"/>
                <w:szCs w:val="13"/>
              </w:rPr>
              <w:t>668,8</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685,3</w:t>
            </w:r>
          </w:p>
        </w:tc>
        <w:tc>
          <w:tcPr>
            <w:tcW w:w="850" w:type="dxa"/>
            <w:shd w:val="clear" w:color="auto" w:fill="auto"/>
            <w:noWrap/>
            <w:vAlign w:val="center"/>
            <w:hideMark/>
          </w:tcPr>
          <w:p w:rsidR="00302C34" w:rsidRPr="004962B8" w:rsidRDefault="00302C34" w:rsidP="007A6C29">
            <w:pPr>
              <w:jc w:val="center"/>
              <w:rPr>
                <w:sz w:val="20"/>
                <w:szCs w:val="13"/>
              </w:rPr>
            </w:pPr>
            <w:r w:rsidRPr="004962B8">
              <w:rPr>
                <w:sz w:val="20"/>
                <w:szCs w:val="13"/>
              </w:rPr>
              <w:t>670,5</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696,3</w:t>
            </w:r>
          </w:p>
        </w:tc>
        <w:tc>
          <w:tcPr>
            <w:tcW w:w="850" w:type="dxa"/>
            <w:shd w:val="clear" w:color="auto" w:fill="auto"/>
            <w:noWrap/>
            <w:vAlign w:val="center"/>
          </w:tcPr>
          <w:p w:rsidR="00302C34" w:rsidRPr="004962B8" w:rsidRDefault="00302C34" w:rsidP="007A6C29">
            <w:pPr>
              <w:jc w:val="center"/>
              <w:rPr>
                <w:sz w:val="20"/>
                <w:szCs w:val="13"/>
              </w:rPr>
            </w:pPr>
            <w:r w:rsidRPr="004962B8">
              <w:rPr>
                <w:sz w:val="20"/>
                <w:szCs w:val="13"/>
              </w:rPr>
              <w:t>673,2</w:t>
            </w:r>
          </w:p>
        </w:tc>
        <w:tc>
          <w:tcPr>
            <w:tcW w:w="851" w:type="dxa"/>
            <w:shd w:val="clear" w:color="auto" w:fill="auto"/>
            <w:noWrap/>
            <w:vAlign w:val="center"/>
          </w:tcPr>
          <w:p w:rsidR="00302C34" w:rsidRPr="004962B8" w:rsidRDefault="00302C34" w:rsidP="007A6C29">
            <w:pPr>
              <w:jc w:val="center"/>
              <w:rPr>
                <w:sz w:val="20"/>
                <w:szCs w:val="13"/>
              </w:rPr>
            </w:pPr>
            <w:r w:rsidRPr="004962B8">
              <w:rPr>
                <w:sz w:val="20"/>
                <w:szCs w:val="13"/>
              </w:rPr>
              <w:t>708,2</w:t>
            </w:r>
          </w:p>
        </w:tc>
        <w:tc>
          <w:tcPr>
            <w:tcW w:w="850" w:type="dxa"/>
            <w:shd w:val="clear" w:color="auto" w:fill="auto"/>
            <w:noWrap/>
            <w:vAlign w:val="center"/>
          </w:tcPr>
          <w:p w:rsidR="00302C34" w:rsidRPr="004962B8" w:rsidRDefault="00302C34" w:rsidP="007A6C29">
            <w:pPr>
              <w:jc w:val="center"/>
              <w:rPr>
                <w:sz w:val="20"/>
                <w:szCs w:val="13"/>
              </w:rPr>
            </w:pPr>
            <w:r w:rsidRPr="004962B8">
              <w:rPr>
                <w:sz w:val="20"/>
                <w:szCs w:val="13"/>
              </w:rPr>
              <w:t>677,2</w:t>
            </w:r>
          </w:p>
        </w:tc>
        <w:tc>
          <w:tcPr>
            <w:tcW w:w="851" w:type="dxa"/>
            <w:shd w:val="clear" w:color="auto" w:fill="auto"/>
            <w:noWrap/>
            <w:vAlign w:val="center"/>
          </w:tcPr>
          <w:p w:rsidR="00302C34" w:rsidRPr="004962B8" w:rsidRDefault="00302C34" w:rsidP="007A6C29">
            <w:pPr>
              <w:jc w:val="center"/>
              <w:rPr>
                <w:sz w:val="20"/>
                <w:szCs w:val="13"/>
              </w:rPr>
            </w:pPr>
            <w:r w:rsidRPr="004962B8">
              <w:rPr>
                <w:sz w:val="20"/>
                <w:szCs w:val="13"/>
              </w:rPr>
              <w:t>723,1</w:t>
            </w:r>
          </w:p>
        </w:tc>
        <w:tc>
          <w:tcPr>
            <w:tcW w:w="850" w:type="dxa"/>
            <w:shd w:val="clear" w:color="auto" w:fill="auto"/>
            <w:noWrap/>
            <w:vAlign w:val="center"/>
          </w:tcPr>
          <w:p w:rsidR="00302C34" w:rsidRPr="004962B8" w:rsidRDefault="00302C34" w:rsidP="007A6C29">
            <w:pPr>
              <w:jc w:val="center"/>
              <w:rPr>
                <w:sz w:val="20"/>
                <w:szCs w:val="13"/>
              </w:rPr>
            </w:pPr>
            <w:r w:rsidRPr="004962B8">
              <w:rPr>
                <w:sz w:val="20"/>
                <w:szCs w:val="13"/>
              </w:rPr>
              <w:t>684,0</w:t>
            </w:r>
          </w:p>
        </w:tc>
        <w:tc>
          <w:tcPr>
            <w:tcW w:w="851" w:type="dxa"/>
            <w:shd w:val="clear" w:color="auto" w:fill="auto"/>
            <w:noWrap/>
            <w:vAlign w:val="center"/>
          </w:tcPr>
          <w:p w:rsidR="00302C34" w:rsidRPr="004962B8" w:rsidRDefault="00302C34" w:rsidP="007A6C29">
            <w:pPr>
              <w:jc w:val="center"/>
              <w:rPr>
                <w:sz w:val="20"/>
                <w:szCs w:val="13"/>
              </w:rPr>
            </w:pPr>
            <w:r w:rsidRPr="004962B8">
              <w:rPr>
                <w:sz w:val="20"/>
                <w:szCs w:val="13"/>
              </w:rPr>
              <w:t>740,0</w:t>
            </w:r>
          </w:p>
        </w:tc>
      </w:tr>
      <w:tr w:rsidR="00302C34" w:rsidRPr="004962B8" w:rsidTr="00544321">
        <w:trPr>
          <w:trHeight w:val="395"/>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Индекс производства продукции сельского хозяйства</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к предыдущему году в сопоставимых ценах</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103,30</w:t>
            </w:r>
          </w:p>
        </w:tc>
        <w:tc>
          <w:tcPr>
            <w:tcW w:w="992" w:type="dxa"/>
            <w:shd w:val="clear" w:color="auto" w:fill="auto"/>
            <w:noWrap/>
            <w:vAlign w:val="center"/>
            <w:hideMark/>
          </w:tcPr>
          <w:p w:rsidR="00302C34" w:rsidRPr="004962B8" w:rsidRDefault="00302C34" w:rsidP="007A6C29">
            <w:pPr>
              <w:jc w:val="center"/>
              <w:rPr>
                <w:sz w:val="20"/>
                <w:szCs w:val="13"/>
              </w:rPr>
            </w:pPr>
            <w:r w:rsidRPr="004962B8">
              <w:rPr>
                <w:sz w:val="20"/>
                <w:szCs w:val="13"/>
              </w:rPr>
              <w:t>100,50</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100,00</w:t>
            </w:r>
          </w:p>
        </w:tc>
        <w:tc>
          <w:tcPr>
            <w:tcW w:w="850" w:type="dxa"/>
            <w:shd w:val="clear" w:color="auto" w:fill="auto"/>
            <w:noWrap/>
            <w:vAlign w:val="center"/>
            <w:hideMark/>
          </w:tcPr>
          <w:p w:rsidR="00302C34" w:rsidRPr="004962B8" w:rsidRDefault="00302C34" w:rsidP="007A6C29">
            <w:pPr>
              <w:jc w:val="center"/>
              <w:rPr>
                <w:sz w:val="20"/>
                <w:szCs w:val="13"/>
              </w:rPr>
            </w:pPr>
            <w:r w:rsidRPr="004962B8">
              <w:rPr>
                <w:sz w:val="20"/>
                <w:szCs w:val="13"/>
              </w:rPr>
              <w:t>100,00</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100,10</w:t>
            </w:r>
          </w:p>
        </w:tc>
        <w:tc>
          <w:tcPr>
            <w:tcW w:w="850" w:type="dxa"/>
            <w:shd w:val="clear" w:color="auto" w:fill="auto"/>
            <w:noWrap/>
            <w:vAlign w:val="center"/>
            <w:hideMark/>
          </w:tcPr>
          <w:p w:rsidR="00302C34" w:rsidRPr="004962B8" w:rsidRDefault="00302C34" w:rsidP="007A6C29">
            <w:pPr>
              <w:jc w:val="center"/>
              <w:rPr>
                <w:sz w:val="20"/>
                <w:szCs w:val="13"/>
              </w:rPr>
            </w:pPr>
            <w:r w:rsidRPr="004962B8">
              <w:rPr>
                <w:sz w:val="20"/>
                <w:szCs w:val="13"/>
              </w:rPr>
              <w:t>100,09</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100,19</w:t>
            </w:r>
          </w:p>
        </w:tc>
        <w:tc>
          <w:tcPr>
            <w:tcW w:w="850" w:type="dxa"/>
            <w:shd w:val="clear" w:color="auto" w:fill="auto"/>
            <w:noWrap/>
            <w:vAlign w:val="center"/>
            <w:hideMark/>
          </w:tcPr>
          <w:p w:rsidR="00302C34" w:rsidRPr="004962B8" w:rsidRDefault="00302C34" w:rsidP="007A6C29">
            <w:pPr>
              <w:jc w:val="center"/>
              <w:rPr>
                <w:sz w:val="20"/>
                <w:szCs w:val="13"/>
              </w:rPr>
            </w:pPr>
            <w:r w:rsidRPr="004962B8">
              <w:rPr>
                <w:sz w:val="20"/>
                <w:szCs w:val="13"/>
              </w:rPr>
              <w:t>100,20</w:t>
            </w:r>
          </w:p>
        </w:tc>
        <w:tc>
          <w:tcPr>
            <w:tcW w:w="851" w:type="dxa"/>
            <w:shd w:val="clear" w:color="auto" w:fill="auto"/>
            <w:noWrap/>
            <w:vAlign w:val="center"/>
            <w:hideMark/>
          </w:tcPr>
          <w:p w:rsidR="00302C34" w:rsidRPr="004962B8" w:rsidRDefault="00302C34" w:rsidP="007A6C29">
            <w:pPr>
              <w:jc w:val="center"/>
              <w:rPr>
                <w:sz w:val="20"/>
                <w:szCs w:val="13"/>
              </w:rPr>
            </w:pPr>
            <w:r w:rsidRPr="004962B8">
              <w:rPr>
                <w:sz w:val="20"/>
                <w:szCs w:val="13"/>
              </w:rPr>
              <w:t xml:space="preserve">100,40 </w:t>
            </w:r>
          </w:p>
        </w:tc>
        <w:tc>
          <w:tcPr>
            <w:tcW w:w="850" w:type="dxa"/>
            <w:shd w:val="clear" w:color="auto" w:fill="auto"/>
            <w:noWrap/>
            <w:vAlign w:val="center"/>
          </w:tcPr>
          <w:p w:rsidR="00302C34" w:rsidRPr="004962B8" w:rsidRDefault="00302C34" w:rsidP="007A6C29">
            <w:pPr>
              <w:jc w:val="center"/>
              <w:rPr>
                <w:sz w:val="20"/>
                <w:szCs w:val="13"/>
              </w:rPr>
            </w:pPr>
            <w:r w:rsidRPr="004962B8">
              <w:rPr>
                <w:sz w:val="20"/>
                <w:szCs w:val="13"/>
              </w:rPr>
              <w:t>100,3</w:t>
            </w:r>
          </w:p>
        </w:tc>
        <w:tc>
          <w:tcPr>
            <w:tcW w:w="851" w:type="dxa"/>
            <w:shd w:val="clear" w:color="auto" w:fill="auto"/>
            <w:noWrap/>
            <w:vAlign w:val="center"/>
          </w:tcPr>
          <w:p w:rsidR="00302C34" w:rsidRPr="004962B8" w:rsidRDefault="00302C34" w:rsidP="007A6C29">
            <w:pPr>
              <w:jc w:val="center"/>
              <w:rPr>
                <w:sz w:val="20"/>
                <w:szCs w:val="13"/>
              </w:rPr>
            </w:pPr>
            <w:r w:rsidRPr="004962B8">
              <w:rPr>
                <w:sz w:val="20"/>
                <w:szCs w:val="13"/>
              </w:rPr>
              <w:t>100,6</w:t>
            </w:r>
          </w:p>
        </w:tc>
        <w:tc>
          <w:tcPr>
            <w:tcW w:w="850" w:type="dxa"/>
            <w:shd w:val="clear" w:color="auto" w:fill="auto"/>
            <w:noWrap/>
            <w:vAlign w:val="center"/>
          </w:tcPr>
          <w:p w:rsidR="00302C34" w:rsidRPr="004962B8" w:rsidRDefault="00302C34" w:rsidP="007A6C29">
            <w:pPr>
              <w:jc w:val="center"/>
              <w:rPr>
                <w:sz w:val="20"/>
                <w:szCs w:val="13"/>
              </w:rPr>
            </w:pPr>
            <w:r w:rsidRPr="004962B8">
              <w:rPr>
                <w:sz w:val="20"/>
                <w:szCs w:val="13"/>
              </w:rPr>
              <w:t>100,4</w:t>
            </w:r>
          </w:p>
        </w:tc>
        <w:tc>
          <w:tcPr>
            <w:tcW w:w="851" w:type="dxa"/>
            <w:shd w:val="clear" w:color="auto" w:fill="auto"/>
            <w:noWrap/>
            <w:vAlign w:val="center"/>
          </w:tcPr>
          <w:p w:rsidR="00302C34" w:rsidRPr="004962B8" w:rsidRDefault="00302C34" w:rsidP="007A6C29">
            <w:pPr>
              <w:jc w:val="center"/>
              <w:rPr>
                <w:sz w:val="20"/>
                <w:szCs w:val="13"/>
              </w:rPr>
            </w:pPr>
            <w:r w:rsidRPr="004962B8">
              <w:rPr>
                <w:sz w:val="20"/>
                <w:szCs w:val="13"/>
              </w:rPr>
              <w:t>100,9</w:t>
            </w:r>
          </w:p>
        </w:tc>
        <w:tc>
          <w:tcPr>
            <w:tcW w:w="850" w:type="dxa"/>
            <w:shd w:val="clear" w:color="auto" w:fill="auto"/>
            <w:noWrap/>
            <w:vAlign w:val="center"/>
          </w:tcPr>
          <w:p w:rsidR="00302C34" w:rsidRPr="004962B8" w:rsidRDefault="00302C34" w:rsidP="007A6C29">
            <w:pPr>
              <w:jc w:val="center"/>
              <w:rPr>
                <w:sz w:val="20"/>
                <w:szCs w:val="13"/>
              </w:rPr>
            </w:pPr>
            <w:r w:rsidRPr="004962B8">
              <w:rPr>
                <w:sz w:val="20"/>
                <w:szCs w:val="13"/>
              </w:rPr>
              <w:t>100,8</w:t>
            </w:r>
          </w:p>
        </w:tc>
        <w:tc>
          <w:tcPr>
            <w:tcW w:w="851" w:type="dxa"/>
            <w:shd w:val="clear" w:color="auto" w:fill="auto"/>
            <w:noWrap/>
            <w:vAlign w:val="center"/>
          </w:tcPr>
          <w:p w:rsidR="00302C34" w:rsidRPr="004962B8" w:rsidRDefault="00302C34" w:rsidP="007A6C29">
            <w:pPr>
              <w:jc w:val="center"/>
              <w:rPr>
                <w:sz w:val="20"/>
                <w:szCs w:val="13"/>
              </w:rPr>
            </w:pPr>
            <w:r w:rsidRPr="004962B8">
              <w:rPr>
                <w:sz w:val="20"/>
                <w:szCs w:val="13"/>
              </w:rPr>
              <w:t>101,0</w:t>
            </w:r>
          </w:p>
        </w:tc>
      </w:tr>
      <w:tr w:rsidR="00302C34" w:rsidRPr="004962B8" w:rsidTr="00544321">
        <w:trPr>
          <w:trHeight w:val="96"/>
          <w:jc w:val="right"/>
        </w:trPr>
        <w:tc>
          <w:tcPr>
            <w:tcW w:w="15881" w:type="dxa"/>
            <w:gridSpan w:val="17"/>
            <w:shd w:val="clear" w:color="auto" w:fill="auto"/>
            <w:hideMark/>
          </w:tcPr>
          <w:p w:rsidR="00302C34" w:rsidRPr="004962B8" w:rsidRDefault="00302C34" w:rsidP="007A6C29">
            <w:pPr>
              <w:jc w:val="center"/>
              <w:rPr>
                <w:b/>
                <w:sz w:val="20"/>
                <w:szCs w:val="20"/>
              </w:rPr>
            </w:pPr>
            <w:r w:rsidRPr="004962B8">
              <w:rPr>
                <w:b/>
                <w:sz w:val="20"/>
                <w:szCs w:val="20"/>
              </w:rPr>
              <w:t>Строительство</w:t>
            </w:r>
          </w:p>
        </w:tc>
      </w:tr>
      <w:tr w:rsidR="00302C34" w:rsidRPr="004962B8" w:rsidTr="00544321">
        <w:trPr>
          <w:trHeight w:val="236"/>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Ввод в действие жилых домов</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тыс. кв. м. в общей площади</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16,2</w:t>
            </w:r>
          </w:p>
        </w:tc>
        <w:tc>
          <w:tcPr>
            <w:tcW w:w="992" w:type="dxa"/>
            <w:shd w:val="clear" w:color="auto" w:fill="auto"/>
            <w:noWrap/>
            <w:vAlign w:val="center"/>
          </w:tcPr>
          <w:p w:rsidR="00302C34" w:rsidRPr="004962B8" w:rsidRDefault="00302C34" w:rsidP="007A6C29">
            <w:pPr>
              <w:jc w:val="center"/>
              <w:rPr>
                <w:sz w:val="20"/>
                <w:szCs w:val="20"/>
              </w:rPr>
            </w:pPr>
            <w:r w:rsidRPr="004962B8">
              <w:rPr>
                <w:sz w:val="20"/>
                <w:szCs w:val="20"/>
              </w:rPr>
              <w:t>14,8</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16,5</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17,2</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17,8</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18,5</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19,2</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18,5</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19,2</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18,5</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19,2</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18,5</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19,2</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18,5</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19,2</w:t>
            </w:r>
          </w:p>
        </w:tc>
      </w:tr>
      <w:tr w:rsidR="00302C34" w:rsidRPr="004962B8" w:rsidTr="00544321">
        <w:trPr>
          <w:trHeight w:val="96"/>
          <w:jc w:val="right"/>
        </w:trPr>
        <w:tc>
          <w:tcPr>
            <w:tcW w:w="15881" w:type="dxa"/>
            <w:gridSpan w:val="17"/>
            <w:shd w:val="clear" w:color="auto" w:fill="auto"/>
            <w:hideMark/>
          </w:tcPr>
          <w:p w:rsidR="00302C34" w:rsidRPr="004962B8" w:rsidRDefault="00302C34" w:rsidP="007A6C29">
            <w:pPr>
              <w:jc w:val="center"/>
              <w:rPr>
                <w:b/>
                <w:sz w:val="20"/>
                <w:szCs w:val="20"/>
              </w:rPr>
            </w:pPr>
            <w:r w:rsidRPr="004962B8">
              <w:rPr>
                <w:b/>
                <w:sz w:val="20"/>
                <w:szCs w:val="20"/>
              </w:rPr>
              <w:t>Торговля и услуги населению</w:t>
            </w:r>
          </w:p>
        </w:tc>
      </w:tr>
      <w:tr w:rsidR="00302C34" w:rsidRPr="004962B8" w:rsidTr="00544321">
        <w:trPr>
          <w:trHeight w:val="96"/>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Индекс потребительских цен на конец года</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к декабрю предыдущего года</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103,9</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105,5</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110,5</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104,8</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105,5</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103,8</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r>
      <w:tr w:rsidR="00302C34" w:rsidRPr="004962B8" w:rsidTr="00544321">
        <w:trPr>
          <w:trHeight w:val="216"/>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Оборот розничной торговли</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млн. рублей</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2733,6</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2840,5</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2934,0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3022,0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3036,0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3119,0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3152,0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3228,0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3278,0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3350,0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3416,0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3484,0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3569,0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3627,0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3730,0</w:t>
            </w:r>
          </w:p>
        </w:tc>
      </w:tr>
      <w:tr w:rsidR="00302C34" w:rsidRPr="004962B8" w:rsidTr="00544321">
        <w:trPr>
          <w:trHeight w:val="403"/>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 xml:space="preserve">Темп роста оборота </w:t>
            </w:r>
            <w:r w:rsidRPr="004962B8">
              <w:rPr>
                <w:sz w:val="20"/>
                <w:szCs w:val="20"/>
              </w:rPr>
              <w:lastRenderedPageBreak/>
              <w:t>розничной торговли</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lastRenderedPageBreak/>
              <w:t xml:space="preserve">% к предыдущему году в </w:t>
            </w:r>
            <w:r w:rsidRPr="004962B8">
              <w:rPr>
                <w:sz w:val="20"/>
                <w:szCs w:val="20"/>
              </w:rPr>
              <w:lastRenderedPageBreak/>
              <w:t>сопоставимых ценах</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lastRenderedPageBreak/>
              <w:t>96,00</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100,2</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94,7</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100,1</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100,2</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100,1</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100,3</w:t>
            </w:r>
          </w:p>
        </w:tc>
        <w:tc>
          <w:tcPr>
            <w:tcW w:w="850"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100,2</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100,4</w:t>
            </w:r>
          </w:p>
        </w:tc>
        <w:tc>
          <w:tcPr>
            <w:tcW w:w="850"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100,3</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100,5</w:t>
            </w:r>
          </w:p>
        </w:tc>
        <w:tc>
          <w:tcPr>
            <w:tcW w:w="850"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100,3</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100,5</w:t>
            </w:r>
          </w:p>
        </w:tc>
      </w:tr>
      <w:tr w:rsidR="00302C34" w:rsidRPr="004962B8" w:rsidTr="00544321">
        <w:trPr>
          <w:trHeight w:val="241"/>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Объем платных услуг населению</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млн. рублей</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1075,3</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1115,4</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1155,0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1189,0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1195,0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1228,0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1241,0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1273,0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1291,0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1322,0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1347,0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1377,0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1399,0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1422,0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1454,0</w:t>
            </w:r>
          </w:p>
        </w:tc>
      </w:tr>
      <w:tr w:rsidR="00302C34" w:rsidRPr="004962B8" w:rsidTr="00544321">
        <w:trPr>
          <w:trHeight w:val="415"/>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Темп роста объема платных услуг населению</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к предыдущему году в сопоставимых ценах</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83,30</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100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95</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100,1</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100,1</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100,2</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100,2</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100,3</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100,3</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100,4</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100,4</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100,6</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100,4</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100,6</w:t>
            </w:r>
          </w:p>
        </w:tc>
      </w:tr>
      <w:tr w:rsidR="00302C34" w:rsidRPr="004962B8" w:rsidTr="00544321">
        <w:trPr>
          <w:trHeight w:val="96"/>
          <w:jc w:val="right"/>
        </w:trPr>
        <w:tc>
          <w:tcPr>
            <w:tcW w:w="15881" w:type="dxa"/>
            <w:gridSpan w:val="17"/>
            <w:shd w:val="clear" w:color="auto" w:fill="auto"/>
            <w:hideMark/>
          </w:tcPr>
          <w:p w:rsidR="00302C34" w:rsidRPr="004962B8" w:rsidRDefault="00302C34" w:rsidP="007A6C29">
            <w:pPr>
              <w:jc w:val="center"/>
              <w:rPr>
                <w:b/>
                <w:sz w:val="20"/>
                <w:szCs w:val="20"/>
              </w:rPr>
            </w:pPr>
            <w:r w:rsidRPr="004962B8">
              <w:rPr>
                <w:b/>
                <w:sz w:val="20"/>
                <w:szCs w:val="20"/>
              </w:rPr>
              <w:t>Инвестиции</w:t>
            </w:r>
          </w:p>
        </w:tc>
      </w:tr>
      <w:tr w:rsidR="00302C34" w:rsidRPr="004962B8" w:rsidTr="00544321">
        <w:trPr>
          <w:trHeight w:val="270"/>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Инвестиции в основной капитал</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млрд. рублей</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135,8</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149,7</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154,7</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156,5</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158,3</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158,6</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162,2</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160,6</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165,2</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162,6</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168,4</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164,6</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171,6</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166,7</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174,8</w:t>
            </w:r>
          </w:p>
        </w:tc>
      </w:tr>
      <w:tr w:rsidR="00302C34" w:rsidRPr="004962B8" w:rsidTr="00544321">
        <w:trPr>
          <w:trHeight w:val="273"/>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Индекс производства</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г/г</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102,4</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101,3</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102,2</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100,1</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100,8</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100,3</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100,8</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100,2</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100,4</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100,2</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100,5</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100,3</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100,5</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100,4</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100,6</w:t>
            </w:r>
          </w:p>
        </w:tc>
      </w:tr>
      <w:tr w:rsidR="00302C34" w:rsidRPr="004962B8" w:rsidTr="00544321">
        <w:trPr>
          <w:trHeight w:val="96"/>
          <w:jc w:val="right"/>
        </w:trPr>
        <w:tc>
          <w:tcPr>
            <w:tcW w:w="15881" w:type="dxa"/>
            <w:gridSpan w:val="17"/>
            <w:shd w:val="clear" w:color="auto" w:fill="auto"/>
            <w:hideMark/>
          </w:tcPr>
          <w:p w:rsidR="00302C34" w:rsidRPr="004962B8" w:rsidRDefault="00302C34" w:rsidP="007A6C29">
            <w:pPr>
              <w:jc w:val="center"/>
              <w:rPr>
                <w:b/>
                <w:sz w:val="20"/>
                <w:szCs w:val="20"/>
              </w:rPr>
            </w:pPr>
            <w:r w:rsidRPr="004962B8">
              <w:rPr>
                <w:b/>
                <w:sz w:val="20"/>
                <w:szCs w:val="20"/>
              </w:rPr>
              <w:t>Денежные доходы населения</w:t>
            </w:r>
          </w:p>
        </w:tc>
      </w:tr>
      <w:tr w:rsidR="00302C34" w:rsidRPr="004962B8" w:rsidTr="00544321">
        <w:trPr>
          <w:trHeight w:val="240"/>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Реальные располагаемые денежные доходы населения</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г/г</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98,9</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100,0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97,2</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97,6</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99,0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100,3</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99,5</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101,0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101,2</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100,6</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101,4</w:t>
            </w:r>
          </w:p>
        </w:tc>
        <w:tc>
          <w:tcPr>
            <w:tcW w:w="850" w:type="dxa"/>
            <w:shd w:val="clear" w:color="000000" w:fill="FFFFFF"/>
            <w:noWrap/>
            <w:vAlign w:val="center"/>
          </w:tcPr>
          <w:p w:rsidR="00302C34" w:rsidRPr="004962B8" w:rsidRDefault="00302C34" w:rsidP="007A6C29">
            <w:pPr>
              <w:jc w:val="center"/>
              <w:rPr>
                <w:sz w:val="20"/>
                <w:szCs w:val="20"/>
              </w:rPr>
            </w:pPr>
            <w:r w:rsidRPr="004962B8">
              <w:rPr>
                <w:sz w:val="20"/>
                <w:szCs w:val="20"/>
              </w:rPr>
              <w:t>101,0</w:t>
            </w:r>
          </w:p>
        </w:tc>
        <w:tc>
          <w:tcPr>
            <w:tcW w:w="851" w:type="dxa"/>
            <w:shd w:val="clear" w:color="000000" w:fill="FFFFFF"/>
            <w:noWrap/>
            <w:vAlign w:val="center"/>
          </w:tcPr>
          <w:p w:rsidR="00302C34" w:rsidRPr="004962B8" w:rsidRDefault="00302C34" w:rsidP="007A6C29">
            <w:pPr>
              <w:jc w:val="center"/>
              <w:rPr>
                <w:sz w:val="20"/>
                <w:szCs w:val="20"/>
              </w:rPr>
            </w:pPr>
            <w:r w:rsidRPr="004962B8">
              <w:rPr>
                <w:sz w:val="20"/>
                <w:szCs w:val="20"/>
              </w:rPr>
              <w:t>101,4</w:t>
            </w:r>
          </w:p>
        </w:tc>
      </w:tr>
      <w:tr w:rsidR="00302C34" w:rsidRPr="004962B8" w:rsidTr="00544321">
        <w:trPr>
          <w:trHeight w:val="240"/>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Денежные доходы в расчете на душу населения в месяц</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руб.</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38 900,0</w:t>
            </w:r>
          </w:p>
        </w:tc>
        <w:tc>
          <w:tcPr>
            <w:tcW w:w="992"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39 700,0</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40 800,0</w:t>
            </w:r>
          </w:p>
        </w:tc>
        <w:tc>
          <w:tcPr>
            <w:tcW w:w="850"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42 400,0</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42 500,0</w:t>
            </w:r>
          </w:p>
        </w:tc>
        <w:tc>
          <w:tcPr>
            <w:tcW w:w="850"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44 000,0</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44 200, 0</w:t>
            </w:r>
          </w:p>
        </w:tc>
        <w:tc>
          <w:tcPr>
            <w:tcW w:w="850"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45 800,0</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46 000,0</w:t>
            </w:r>
          </w:p>
        </w:tc>
        <w:tc>
          <w:tcPr>
            <w:tcW w:w="850"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47900,0</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48100,0</w:t>
            </w:r>
          </w:p>
        </w:tc>
        <w:tc>
          <w:tcPr>
            <w:tcW w:w="850"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48500,0</w:t>
            </w:r>
          </w:p>
        </w:tc>
        <w:tc>
          <w:tcPr>
            <w:tcW w:w="851" w:type="dxa"/>
            <w:shd w:val="clear" w:color="auto" w:fill="auto"/>
            <w:noWrap/>
            <w:vAlign w:val="center"/>
          </w:tcPr>
          <w:p w:rsidR="00302C34" w:rsidRPr="004962B8" w:rsidRDefault="00302C34" w:rsidP="007A6C29">
            <w:pPr>
              <w:widowControl w:val="0"/>
              <w:jc w:val="center"/>
              <w:rPr>
                <w:sz w:val="20"/>
                <w:szCs w:val="20"/>
              </w:rPr>
            </w:pPr>
            <w:r w:rsidRPr="004962B8">
              <w:rPr>
                <w:sz w:val="20"/>
                <w:szCs w:val="20"/>
              </w:rPr>
              <w:t>48900,0</w:t>
            </w:r>
          </w:p>
        </w:tc>
        <w:tc>
          <w:tcPr>
            <w:tcW w:w="850" w:type="dxa"/>
            <w:shd w:val="clear" w:color="000000" w:fill="FFFFFF"/>
            <w:noWrap/>
            <w:vAlign w:val="center"/>
          </w:tcPr>
          <w:p w:rsidR="00302C34" w:rsidRPr="004962B8" w:rsidRDefault="00302C34" w:rsidP="007A6C29">
            <w:pPr>
              <w:widowControl w:val="0"/>
              <w:jc w:val="center"/>
              <w:rPr>
                <w:sz w:val="20"/>
                <w:szCs w:val="20"/>
              </w:rPr>
            </w:pPr>
            <w:r w:rsidRPr="004962B8">
              <w:rPr>
                <w:sz w:val="20"/>
                <w:szCs w:val="20"/>
              </w:rPr>
              <w:t>48900,0</w:t>
            </w:r>
          </w:p>
        </w:tc>
        <w:tc>
          <w:tcPr>
            <w:tcW w:w="851" w:type="dxa"/>
            <w:shd w:val="clear" w:color="000000" w:fill="FFFFFF"/>
            <w:noWrap/>
            <w:vAlign w:val="center"/>
          </w:tcPr>
          <w:p w:rsidR="00302C34" w:rsidRPr="004962B8" w:rsidRDefault="00302C34" w:rsidP="007A6C29">
            <w:pPr>
              <w:widowControl w:val="0"/>
              <w:jc w:val="center"/>
              <w:rPr>
                <w:sz w:val="20"/>
                <w:szCs w:val="20"/>
              </w:rPr>
            </w:pPr>
            <w:r w:rsidRPr="004962B8">
              <w:rPr>
                <w:sz w:val="20"/>
                <w:szCs w:val="20"/>
              </w:rPr>
              <w:t>49200,0</w:t>
            </w:r>
          </w:p>
        </w:tc>
      </w:tr>
      <w:tr w:rsidR="00302C34" w:rsidRPr="004962B8" w:rsidTr="00544321">
        <w:trPr>
          <w:trHeight w:val="96"/>
          <w:jc w:val="right"/>
        </w:trPr>
        <w:tc>
          <w:tcPr>
            <w:tcW w:w="15881" w:type="dxa"/>
            <w:gridSpan w:val="17"/>
            <w:shd w:val="clear" w:color="auto" w:fill="auto"/>
            <w:hideMark/>
          </w:tcPr>
          <w:p w:rsidR="00302C34" w:rsidRPr="004962B8" w:rsidRDefault="00302C34" w:rsidP="007A6C29">
            <w:pPr>
              <w:jc w:val="center"/>
              <w:rPr>
                <w:b/>
                <w:sz w:val="20"/>
                <w:szCs w:val="20"/>
              </w:rPr>
            </w:pPr>
            <w:r w:rsidRPr="004962B8">
              <w:rPr>
                <w:b/>
                <w:sz w:val="20"/>
                <w:szCs w:val="20"/>
              </w:rPr>
              <w:t>Труд и занятость</w:t>
            </w:r>
          </w:p>
        </w:tc>
      </w:tr>
      <w:tr w:rsidR="00302C34" w:rsidRPr="004962B8" w:rsidTr="00544321">
        <w:trPr>
          <w:trHeight w:val="270"/>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Численность занятых в экономике</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тыс. чел</w:t>
            </w:r>
          </w:p>
        </w:tc>
        <w:tc>
          <w:tcPr>
            <w:tcW w:w="851" w:type="dxa"/>
            <w:shd w:val="clear" w:color="auto" w:fill="auto"/>
            <w:noWrap/>
            <w:vAlign w:val="center"/>
            <w:hideMark/>
          </w:tcPr>
          <w:p w:rsidR="00302C34" w:rsidRPr="004962B8" w:rsidRDefault="00302C34" w:rsidP="007A6C29">
            <w:pPr>
              <w:jc w:val="center"/>
              <w:rPr>
                <w:sz w:val="13"/>
                <w:szCs w:val="13"/>
              </w:rPr>
            </w:pPr>
            <w:r w:rsidRPr="004962B8">
              <w:rPr>
                <w:sz w:val="20"/>
                <w:szCs w:val="20"/>
              </w:rPr>
              <w:t>46,700</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45,501</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46,414</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46,278</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46,537</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46,689</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46,584</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46,693</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46,734</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46,743</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46,784</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46,793</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46,834</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46,843</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46,884</w:t>
            </w:r>
          </w:p>
        </w:tc>
      </w:tr>
      <w:tr w:rsidR="00302C34" w:rsidRPr="004962B8" w:rsidTr="00544321">
        <w:trPr>
          <w:trHeight w:val="270"/>
          <w:jc w:val="right"/>
        </w:trPr>
        <w:tc>
          <w:tcPr>
            <w:tcW w:w="1564" w:type="dxa"/>
            <w:shd w:val="clear" w:color="auto" w:fill="auto"/>
          </w:tcPr>
          <w:p w:rsidR="00302C34" w:rsidRPr="004962B8" w:rsidRDefault="00302C34" w:rsidP="007A6C29">
            <w:pPr>
              <w:jc w:val="center"/>
              <w:rPr>
                <w:sz w:val="20"/>
                <w:szCs w:val="20"/>
              </w:rPr>
            </w:pPr>
            <w:r w:rsidRPr="004962B8">
              <w:rPr>
                <w:sz w:val="20"/>
                <w:szCs w:val="20"/>
              </w:rPr>
              <w:t>Начисленная среднемесячная заработная плата одного работника</w:t>
            </w:r>
          </w:p>
        </w:tc>
        <w:tc>
          <w:tcPr>
            <w:tcW w:w="1417" w:type="dxa"/>
            <w:shd w:val="clear" w:color="auto" w:fill="auto"/>
          </w:tcPr>
          <w:p w:rsidR="00302C34" w:rsidRPr="004962B8" w:rsidRDefault="00302C34" w:rsidP="007A6C29">
            <w:pPr>
              <w:jc w:val="center"/>
              <w:rPr>
                <w:sz w:val="20"/>
                <w:szCs w:val="20"/>
              </w:rPr>
            </w:pPr>
            <w:r w:rsidRPr="004962B8">
              <w:rPr>
                <w:sz w:val="20"/>
                <w:szCs w:val="20"/>
              </w:rPr>
              <w:t>рублей</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62 507,0</w:t>
            </w:r>
          </w:p>
        </w:tc>
        <w:tc>
          <w:tcPr>
            <w:tcW w:w="992" w:type="dxa"/>
            <w:shd w:val="clear" w:color="auto" w:fill="auto"/>
            <w:noWrap/>
            <w:vAlign w:val="center"/>
          </w:tcPr>
          <w:p w:rsidR="00302C34" w:rsidRPr="004962B8" w:rsidRDefault="00302C34" w:rsidP="007A6C29">
            <w:pPr>
              <w:jc w:val="center"/>
              <w:rPr>
                <w:sz w:val="20"/>
                <w:szCs w:val="20"/>
              </w:rPr>
            </w:pPr>
            <w:r w:rsidRPr="004962B8">
              <w:rPr>
                <w:sz w:val="20"/>
                <w:szCs w:val="20"/>
              </w:rPr>
              <w:t>64 380,0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66 700,0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69 200,0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69 300,0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71 800,0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72 100,0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74 500,0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75 000,0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77400,0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78100,0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80500,0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81500,0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82000,0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83800,0</w:t>
            </w:r>
          </w:p>
        </w:tc>
      </w:tr>
      <w:tr w:rsidR="00302C34" w:rsidRPr="004962B8" w:rsidTr="00544321">
        <w:trPr>
          <w:trHeight w:val="271"/>
          <w:jc w:val="right"/>
        </w:trPr>
        <w:tc>
          <w:tcPr>
            <w:tcW w:w="1564" w:type="dxa"/>
            <w:shd w:val="clear" w:color="auto" w:fill="auto"/>
            <w:hideMark/>
          </w:tcPr>
          <w:p w:rsidR="00302C34" w:rsidRPr="004962B8" w:rsidRDefault="00302C34" w:rsidP="007A6C29">
            <w:pPr>
              <w:jc w:val="center"/>
              <w:rPr>
                <w:sz w:val="20"/>
                <w:szCs w:val="20"/>
              </w:rPr>
            </w:pPr>
            <w:r w:rsidRPr="004962B8">
              <w:rPr>
                <w:sz w:val="20"/>
                <w:szCs w:val="20"/>
              </w:rPr>
              <w:t>Темп роста среднемесячной номинальной начисленной заработной платы 1 работника</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t>% г/г</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105,0</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103,0</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103,6</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103,7</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103,9</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103,8</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103,8</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104,0</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103,9</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104,1</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104,0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104,4</w:t>
            </w:r>
          </w:p>
        </w:tc>
        <w:tc>
          <w:tcPr>
            <w:tcW w:w="850" w:type="dxa"/>
            <w:shd w:val="clear" w:color="auto" w:fill="auto"/>
            <w:noWrap/>
            <w:vAlign w:val="center"/>
          </w:tcPr>
          <w:p w:rsidR="00302C34" w:rsidRPr="004962B8" w:rsidRDefault="00302C34" w:rsidP="007A6C29">
            <w:pPr>
              <w:jc w:val="center"/>
              <w:rPr>
                <w:sz w:val="20"/>
                <w:szCs w:val="20"/>
              </w:rPr>
            </w:pPr>
            <w:r w:rsidRPr="004962B8">
              <w:rPr>
                <w:sz w:val="20"/>
                <w:szCs w:val="20"/>
              </w:rPr>
              <w:t>102,0</w:t>
            </w:r>
          </w:p>
        </w:tc>
        <w:tc>
          <w:tcPr>
            <w:tcW w:w="851" w:type="dxa"/>
            <w:shd w:val="clear" w:color="auto" w:fill="auto"/>
            <w:noWrap/>
            <w:vAlign w:val="center"/>
          </w:tcPr>
          <w:p w:rsidR="00302C34" w:rsidRPr="004962B8" w:rsidRDefault="00302C34" w:rsidP="007A6C29">
            <w:pPr>
              <w:jc w:val="center"/>
              <w:rPr>
                <w:sz w:val="20"/>
                <w:szCs w:val="20"/>
              </w:rPr>
            </w:pPr>
            <w:r w:rsidRPr="004962B8">
              <w:rPr>
                <w:sz w:val="20"/>
                <w:szCs w:val="20"/>
              </w:rPr>
              <w:t>103,0</w:t>
            </w:r>
          </w:p>
        </w:tc>
      </w:tr>
      <w:tr w:rsidR="00302C34" w:rsidRPr="004416AC" w:rsidTr="00544321">
        <w:trPr>
          <w:trHeight w:val="309"/>
          <w:jc w:val="right"/>
        </w:trPr>
        <w:tc>
          <w:tcPr>
            <w:tcW w:w="1564" w:type="dxa"/>
            <w:shd w:val="clear" w:color="000000" w:fill="FFFFFF"/>
            <w:hideMark/>
          </w:tcPr>
          <w:p w:rsidR="00302C34" w:rsidRPr="004962B8" w:rsidRDefault="00302C34" w:rsidP="007A6C29">
            <w:pPr>
              <w:jc w:val="center"/>
              <w:rPr>
                <w:sz w:val="20"/>
                <w:szCs w:val="20"/>
              </w:rPr>
            </w:pPr>
            <w:r w:rsidRPr="004962B8">
              <w:rPr>
                <w:sz w:val="20"/>
                <w:szCs w:val="20"/>
              </w:rPr>
              <w:t>Уровень зарегистрированн</w:t>
            </w:r>
            <w:r w:rsidRPr="004962B8">
              <w:rPr>
                <w:sz w:val="20"/>
                <w:szCs w:val="20"/>
              </w:rPr>
              <w:lastRenderedPageBreak/>
              <w:t>ой безработицы (на конец года)</w:t>
            </w:r>
          </w:p>
        </w:tc>
        <w:tc>
          <w:tcPr>
            <w:tcW w:w="1417" w:type="dxa"/>
            <w:shd w:val="clear" w:color="auto" w:fill="auto"/>
            <w:hideMark/>
          </w:tcPr>
          <w:p w:rsidR="00302C34" w:rsidRPr="004962B8" w:rsidRDefault="00302C34" w:rsidP="007A6C29">
            <w:pPr>
              <w:jc w:val="center"/>
              <w:rPr>
                <w:sz w:val="20"/>
                <w:szCs w:val="20"/>
              </w:rPr>
            </w:pPr>
            <w:r w:rsidRPr="004962B8">
              <w:rPr>
                <w:sz w:val="20"/>
                <w:szCs w:val="20"/>
              </w:rPr>
              <w:lastRenderedPageBreak/>
              <w:t>%</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0,83</w:t>
            </w:r>
          </w:p>
        </w:tc>
        <w:tc>
          <w:tcPr>
            <w:tcW w:w="992" w:type="dxa"/>
            <w:shd w:val="clear" w:color="auto" w:fill="auto"/>
            <w:noWrap/>
            <w:vAlign w:val="center"/>
            <w:hideMark/>
          </w:tcPr>
          <w:p w:rsidR="00302C34" w:rsidRPr="004962B8" w:rsidRDefault="00302C34" w:rsidP="007A6C29">
            <w:pPr>
              <w:jc w:val="center"/>
              <w:rPr>
                <w:sz w:val="20"/>
                <w:szCs w:val="20"/>
              </w:rPr>
            </w:pPr>
            <w:r w:rsidRPr="004962B8">
              <w:rPr>
                <w:sz w:val="20"/>
                <w:szCs w:val="20"/>
              </w:rPr>
              <w:t>0,06</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0,07</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0,09</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0,07</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0,088</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0,064</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0,083</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0,060</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0,079</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0,056</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0,075</w:t>
            </w:r>
          </w:p>
        </w:tc>
        <w:tc>
          <w:tcPr>
            <w:tcW w:w="851" w:type="dxa"/>
            <w:shd w:val="clear" w:color="auto" w:fill="auto"/>
            <w:noWrap/>
            <w:vAlign w:val="center"/>
            <w:hideMark/>
          </w:tcPr>
          <w:p w:rsidR="00302C34" w:rsidRPr="004962B8" w:rsidRDefault="00302C34" w:rsidP="007A6C29">
            <w:pPr>
              <w:jc w:val="center"/>
              <w:rPr>
                <w:sz w:val="20"/>
                <w:szCs w:val="20"/>
              </w:rPr>
            </w:pPr>
            <w:r w:rsidRPr="004962B8">
              <w:rPr>
                <w:sz w:val="20"/>
                <w:szCs w:val="20"/>
              </w:rPr>
              <w:t>0,051</w:t>
            </w:r>
          </w:p>
        </w:tc>
        <w:tc>
          <w:tcPr>
            <w:tcW w:w="850" w:type="dxa"/>
            <w:shd w:val="clear" w:color="auto" w:fill="auto"/>
            <w:noWrap/>
            <w:vAlign w:val="center"/>
            <w:hideMark/>
          </w:tcPr>
          <w:p w:rsidR="00302C34" w:rsidRPr="004962B8" w:rsidRDefault="00302C34" w:rsidP="007A6C29">
            <w:pPr>
              <w:jc w:val="center"/>
              <w:rPr>
                <w:sz w:val="20"/>
                <w:szCs w:val="20"/>
              </w:rPr>
            </w:pPr>
            <w:r w:rsidRPr="004962B8">
              <w:rPr>
                <w:sz w:val="20"/>
                <w:szCs w:val="20"/>
              </w:rPr>
              <w:t>0,070</w:t>
            </w:r>
          </w:p>
        </w:tc>
        <w:tc>
          <w:tcPr>
            <w:tcW w:w="851" w:type="dxa"/>
            <w:shd w:val="clear" w:color="auto" w:fill="auto"/>
            <w:noWrap/>
            <w:vAlign w:val="center"/>
            <w:hideMark/>
          </w:tcPr>
          <w:p w:rsidR="00302C34" w:rsidRPr="000E18A8" w:rsidRDefault="00302C34" w:rsidP="007A6C29">
            <w:pPr>
              <w:jc w:val="center"/>
              <w:rPr>
                <w:sz w:val="20"/>
                <w:szCs w:val="20"/>
              </w:rPr>
            </w:pPr>
            <w:r w:rsidRPr="004962B8">
              <w:rPr>
                <w:sz w:val="20"/>
                <w:szCs w:val="20"/>
              </w:rPr>
              <w:t>0,047</w:t>
            </w:r>
          </w:p>
        </w:tc>
      </w:tr>
    </w:tbl>
    <w:p w:rsidR="00302C34" w:rsidRDefault="00302C34" w:rsidP="00302C34">
      <w:pPr>
        <w:rPr>
          <w:bCs/>
        </w:rPr>
      </w:pPr>
    </w:p>
    <w:p w:rsidR="00302C34" w:rsidRDefault="00302C34" w:rsidP="002365BD">
      <w:pPr>
        <w:tabs>
          <w:tab w:val="left" w:pos="0"/>
          <w:tab w:val="left" w:pos="8627"/>
        </w:tabs>
        <w:jc w:val="both"/>
        <w:rPr>
          <w:rFonts w:eastAsia="Calibri"/>
          <w:lang w:eastAsia="en-US"/>
        </w:rPr>
      </w:pPr>
    </w:p>
    <w:p w:rsidR="00302C34" w:rsidRDefault="00302C34" w:rsidP="002365BD">
      <w:pPr>
        <w:tabs>
          <w:tab w:val="left" w:pos="0"/>
          <w:tab w:val="left" w:pos="8627"/>
        </w:tabs>
        <w:jc w:val="both"/>
        <w:rPr>
          <w:rFonts w:eastAsia="Calibri"/>
          <w:lang w:eastAsia="en-US"/>
        </w:rPr>
      </w:pPr>
    </w:p>
    <w:sectPr w:rsidR="00302C34" w:rsidSect="00302C34">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96" w:rsidRDefault="00120E96">
      <w:r>
        <w:separator/>
      </w:r>
    </w:p>
  </w:endnote>
  <w:endnote w:type="continuationSeparator" w:id="0">
    <w:p w:rsidR="00120E96" w:rsidRDefault="0012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96" w:rsidRDefault="00120E96">
      <w:r>
        <w:separator/>
      </w:r>
    </w:p>
  </w:footnote>
  <w:footnote w:type="continuationSeparator" w:id="0">
    <w:p w:rsidR="00120E96" w:rsidRDefault="0012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35847"/>
      <w:docPartObj>
        <w:docPartGallery w:val="Page Numbers (Top of Page)"/>
        <w:docPartUnique/>
      </w:docPartObj>
    </w:sdtPr>
    <w:sdtEndPr/>
    <w:sdtContent>
      <w:p w:rsidR="001F49E1" w:rsidRDefault="001F49E1">
        <w:pPr>
          <w:pStyle w:val="a4"/>
          <w:jc w:val="center"/>
        </w:pPr>
        <w:r>
          <w:fldChar w:fldCharType="begin"/>
        </w:r>
        <w:r>
          <w:instrText>PAGE   \* MERGEFORMAT</w:instrText>
        </w:r>
        <w:r>
          <w:fldChar w:fldCharType="separate"/>
        </w:r>
        <w:r w:rsidR="00745DC2">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6"/>
  </w:num>
  <w:num w:numId="5">
    <w:abstractNumId w:val="30"/>
  </w:num>
  <w:num w:numId="6">
    <w:abstractNumId w:val="7"/>
  </w:num>
  <w:num w:numId="7">
    <w:abstractNumId w:val="15"/>
  </w:num>
  <w:num w:numId="8">
    <w:abstractNumId w:val="5"/>
  </w:num>
  <w:num w:numId="9">
    <w:abstractNumId w:val="10"/>
  </w:num>
  <w:num w:numId="10">
    <w:abstractNumId w:val="18"/>
  </w:num>
  <w:num w:numId="11">
    <w:abstractNumId w:val="17"/>
  </w:num>
  <w:num w:numId="12">
    <w:abstractNumId w:val="28"/>
  </w:num>
  <w:num w:numId="13">
    <w:abstractNumId w:val="25"/>
  </w:num>
  <w:num w:numId="14">
    <w:abstractNumId w:val="20"/>
  </w:num>
  <w:num w:numId="15">
    <w:abstractNumId w:val="0"/>
  </w:num>
  <w:num w:numId="16">
    <w:abstractNumId w:val="11"/>
  </w:num>
  <w:num w:numId="17">
    <w:abstractNumId w:val="19"/>
  </w:num>
  <w:num w:numId="18">
    <w:abstractNumId w:val="29"/>
  </w:num>
  <w:num w:numId="19">
    <w:abstractNumId w:val="33"/>
  </w:num>
  <w:num w:numId="20">
    <w:abstractNumId w:val="9"/>
  </w:num>
  <w:num w:numId="21">
    <w:abstractNumId w:val="24"/>
  </w:num>
  <w:num w:numId="22">
    <w:abstractNumId w:val="21"/>
  </w:num>
  <w:num w:numId="23">
    <w:abstractNumId w:val="32"/>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4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C34"/>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773"/>
    <w:rsid w:val="00436F7F"/>
    <w:rsid w:val="00437C71"/>
    <w:rsid w:val="0044068E"/>
    <w:rsid w:val="00442913"/>
    <w:rsid w:val="004432B9"/>
    <w:rsid w:val="00444A6E"/>
    <w:rsid w:val="00445046"/>
    <w:rsid w:val="004460D2"/>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321"/>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45DC2"/>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0294"/>
    <w:rsid w:val="00841375"/>
    <w:rsid w:val="008418DC"/>
    <w:rsid w:val="00842061"/>
    <w:rsid w:val="008423B1"/>
    <w:rsid w:val="00842861"/>
    <w:rsid w:val="00842EC6"/>
    <w:rsid w:val="00843710"/>
    <w:rsid w:val="00844847"/>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2EBE"/>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0705"/>
    <o:shapelayout v:ext="edit">
      <o:idmap v:ext="edit" data="1"/>
    </o:shapelayout>
  </w:shapeDefaults>
  <w:decimalSymbol w:val=","/>
  <w:listSeparator w:val=";"/>
  <w14:docId w14:val="78F37B22"/>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9630-EB51-4708-8CA3-6BFA4BFB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Мухартова Екатерина Александровна</cp:lastModifiedBy>
  <cp:revision>2</cp:revision>
  <cp:lastPrinted>2022-11-11T09:50:00Z</cp:lastPrinted>
  <dcterms:created xsi:type="dcterms:W3CDTF">2022-11-11T09:50:00Z</dcterms:created>
  <dcterms:modified xsi:type="dcterms:W3CDTF">2022-11-11T09:50:00Z</dcterms:modified>
</cp:coreProperties>
</file>